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924315" w:displacedByCustomXml="next"/>
    <w:bookmarkStart w:id="1" w:name="_Hlk36461553" w:displacedByCustomXml="next"/>
    <w:sdt>
      <w:sdtPr>
        <w:rPr>
          <w:lang w:val="en-AU"/>
        </w:rPr>
        <w:alias w:val="Title"/>
        <w:tag w:val=""/>
        <w:id w:val="-702250857"/>
        <w:placeholder>
          <w:docPart w:val="3FC2145D16DE4D0C9C71E54B9CC5E78F"/>
        </w:placeholder>
        <w:dataBinding w:prefixMappings="xmlns:ns0='http://purl.org/dc/elements/1.1/' xmlns:ns1='http://schemas.openxmlformats.org/package/2006/metadata/core-properties' " w:xpath="/ns1:coreProperties[1]/ns0:title[1]" w:storeItemID="{6C3C8BC8-F283-45AE-878A-BAB7291924A1}"/>
        <w:text/>
      </w:sdtPr>
      <w:sdtEndPr/>
      <w:sdtContent>
        <w:p w14:paraId="221CA37F" w14:textId="3966D2AA" w:rsidR="005D073E" w:rsidRPr="00DE4A0E" w:rsidRDefault="0049013D" w:rsidP="003725D5">
          <w:pPr>
            <w:pStyle w:val="Title"/>
            <w:jc w:val="both"/>
            <w:rPr>
              <w:lang w:val="en-AU"/>
            </w:rPr>
          </w:pPr>
          <w:r w:rsidRPr="00DE4A0E">
            <w:rPr>
              <w:lang w:val="en-AU"/>
            </w:rPr>
            <w:t>Market and Economic Update</w:t>
          </w:r>
        </w:p>
      </w:sdtContent>
    </w:sdt>
    <w:p w14:paraId="3FB902F2" w14:textId="56126C1C" w:rsidR="005D073E" w:rsidRPr="00DE4A0E" w:rsidRDefault="006B57CA" w:rsidP="003725D5">
      <w:pPr>
        <w:pStyle w:val="Subtitle"/>
        <w:jc w:val="both"/>
        <w:rPr>
          <w:lang w:val="en-AU"/>
        </w:rPr>
      </w:pPr>
      <w:r>
        <w:rPr>
          <w:lang w:val="en-AU"/>
        </w:rPr>
        <w:t>March Quarter 2024</w:t>
      </w:r>
    </w:p>
    <w:p w14:paraId="6A62585D" w14:textId="77777777" w:rsidR="00E635DA" w:rsidRPr="00DE4A0E" w:rsidRDefault="00E635DA" w:rsidP="003725D5">
      <w:pPr>
        <w:pStyle w:val="Heading1"/>
        <w:jc w:val="both"/>
        <w:rPr>
          <w:lang w:val="en-AU"/>
        </w:rPr>
        <w:sectPr w:rsidR="00E635DA" w:rsidRPr="00DE4A0E" w:rsidSect="00364E83">
          <w:footerReference w:type="default" r:id="rId11"/>
          <w:headerReference w:type="first" r:id="rId12"/>
          <w:footerReference w:type="first" r:id="rId13"/>
          <w:pgSz w:w="11906" w:h="16838" w:code="9"/>
          <w:pgMar w:top="992" w:right="1021" w:bottom="1701" w:left="1021" w:header="284" w:footer="794" w:gutter="0"/>
          <w:cols w:space="708"/>
          <w:titlePg/>
          <w:docGrid w:linePitch="360"/>
        </w:sectPr>
      </w:pPr>
    </w:p>
    <w:p w14:paraId="78479268" w14:textId="30474333" w:rsidR="00B96095" w:rsidRDefault="00B96095" w:rsidP="00B96095">
      <w:pPr>
        <w:pStyle w:val="Heading1"/>
        <w:numPr>
          <w:ilvl w:val="0"/>
          <w:numId w:val="0"/>
        </w:numPr>
        <w:jc w:val="both"/>
        <w:rPr>
          <w:lang w:val="en-AU"/>
        </w:rPr>
      </w:pPr>
      <w:bookmarkStart w:id="2" w:name="_Hlk132367173"/>
      <w:bookmarkEnd w:id="0"/>
      <w:r>
        <w:rPr>
          <w:lang w:val="en-AU"/>
        </w:rPr>
        <w:t>Key points</w:t>
      </w:r>
    </w:p>
    <w:p w14:paraId="655D697D" w14:textId="6D76C359" w:rsidR="00A87B68" w:rsidRPr="00815EB6" w:rsidRDefault="00A87B68" w:rsidP="00A87B68">
      <w:pPr>
        <w:pStyle w:val="ListParagraph"/>
        <w:numPr>
          <w:ilvl w:val="0"/>
          <w:numId w:val="10"/>
        </w:numPr>
        <w:jc w:val="both"/>
        <w:rPr>
          <w:color w:val="5B5D62" w:themeColor="accent6" w:themeShade="80"/>
          <w:lang w:val="en-AU"/>
        </w:rPr>
      </w:pPr>
      <w:r w:rsidRPr="00815EB6">
        <w:rPr>
          <w:b/>
          <w:bCs/>
          <w:color w:val="5B5D62" w:themeColor="accent6" w:themeShade="80"/>
          <w:lang w:val="en-AU"/>
        </w:rPr>
        <w:t xml:space="preserve">Equity </w:t>
      </w:r>
      <w:r w:rsidR="00BE3162" w:rsidRPr="00815EB6">
        <w:rPr>
          <w:b/>
          <w:bCs/>
          <w:color w:val="5B5D62" w:themeColor="accent6" w:themeShade="80"/>
          <w:lang w:val="en-AU"/>
        </w:rPr>
        <w:t>All</w:t>
      </w:r>
      <w:r w:rsidR="00815EB6" w:rsidRPr="00815EB6">
        <w:rPr>
          <w:b/>
          <w:bCs/>
          <w:color w:val="5B5D62" w:themeColor="accent6" w:themeShade="80"/>
          <w:lang w:val="en-AU"/>
        </w:rPr>
        <w:t>-</w:t>
      </w:r>
      <w:r w:rsidR="00BE3162" w:rsidRPr="00815EB6">
        <w:rPr>
          <w:b/>
          <w:bCs/>
          <w:color w:val="5B5D62" w:themeColor="accent6" w:themeShade="80"/>
          <w:lang w:val="en-AU"/>
        </w:rPr>
        <w:t>Time Highs</w:t>
      </w:r>
      <w:r w:rsidRPr="00815EB6">
        <w:rPr>
          <w:b/>
          <w:bCs/>
          <w:color w:val="5B5D62" w:themeColor="accent6" w:themeShade="80"/>
          <w:lang w:val="en-AU"/>
        </w:rPr>
        <w:t>:</w:t>
      </w:r>
      <w:r w:rsidRPr="00815EB6">
        <w:rPr>
          <w:color w:val="5B5D62" w:themeColor="accent6" w:themeShade="80"/>
          <w:lang w:val="en-AU"/>
        </w:rPr>
        <w:t xml:space="preserve"> Global and Australian equities </w:t>
      </w:r>
      <w:r w:rsidR="00BE3162" w:rsidRPr="00815EB6">
        <w:rPr>
          <w:color w:val="5B5D62" w:themeColor="accent6" w:themeShade="80"/>
          <w:lang w:val="en-AU"/>
        </w:rPr>
        <w:t xml:space="preserve">have continued to rise in Q1 2024, </w:t>
      </w:r>
      <w:r w:rsidR="00722372" w:rsidRPr="00815EB6">
        <w:rPr>
          <w:color w:val="5B5D62" w:themeColor="accent6" w:themeShade="80"/>
          <w:lang w:val="en-AU"/>
        </w:rPr>
        <w:t xml:space="preserve">with many </w:t>
      </w:r>
      <w:r w:rsidR="00815EB6" w:rsidRPr="00815EB6">
        <w:rPr>
          <w:color w:val="5B5D62" w:themeColor="accent6" w:themeShade="80"/>
          <w:lang w:val="en-AU"/>
        </w:rPr>
        <w:t>major equity markets reaching all-time highs.</w:t>
      </w:r>
    </w:p>
    <w:p w14:paraId="4BA4C38A" w14:textId="448C256E" w:rsidR="00A87B68" w:rsidRPr="001837AF" w:rsidRDefault="00A87B68" w:rsidP="00A87B68">
      <w:pPr>
        <w:pStyle w:val="ListParagraph"/>
        <w:numPr>
          <w:ilvl w:val="0"/>
          <w:numId w:val="10"/>
        </w:numPr>
        <w:jc w:val="both"/>
        <w:rPr>
          <w:color w:val="5B5D62" w:themeColor="accent6" w:themeShade="80"/>
          <w:lang w:val="en-AU"/>
        </w:rPr>
      </w:pPr>
      <w:r w:rsidRPr="001837AF">
        <w:rPr>
          <w:b/>
          <w:bCs/>
          <w:color w:val="5B5D62" w:themeColor="accent6" w:themeShade="80"/>
          <w:lang w:val="en-AU"/>
        </w:rPr>
        <w:t xml:space="preserve">Bond </w:t>
      </w:r>
      <w:r w:rsidR="00DE5E13" w:rsidRPr="001837AF">
        <w:rPr>
          <w:b/>
          <w:bCs/>
          <w:color w:val="5B5D62" w:themeColor="accent6" w:themeShade="80"/>
          <w:lang w:val="en-AU"/>
        </w:rPr>
        <w:t>Split</w:t>
      </w:r>
      <w:r w:rsidRPr="001837AF">
        <w:rPr>
          <w:b/>
          <w:bCs/>
          <w:color w:val="5B5D62" w:themeColor="accent6" w:themeShade="80"/>
          <w:lang w:val="en-AU"/>
        </w:rPr>
        <w:t>:</w:t>
      </w:r>
      <w:r w:rsidRPr="001837AF">
        <w:rPr>
          <w:color w:val="5B5D62" w:themeColor="accent6" w:themeShade="80"/>
          <w:lang w:val="en-AU"/>
        </w:rPr>
        <w:t xml:space="preserve"> </w:t>
      </w:r>
      <w:r w:rsidR="00DE5E13" w:rsidRPr="001837AF">
        <w:rPr>
          <w:color w:val="5B5D62" w:themeColor="accent6" w:themeShade="80"/>
          <w:lang w:val="en-AU"/>
        </w:rPr>
        <w:t xml:space="preserve">Australian bonds </w:t>
      </w:r>
      <w:r w:rsidR="00305173" w:rsidRPr="001837AF">
        <w:rPr>
          <w:color w:val="5B5D62" w:themeColor="accent6" w:themeShade="80"/>
          <w:lang w:val="en-AU"/>
        </w:rPr>
        <w:t>gained,</w:t>
      </w:r>
      <w:r w:rsidR="00DE5E13" w:rsidRPr="001837AF">
        <w:rPr>
          <w:color w:val="5B5D62" w:themeColor="accent6" w:themeShade="80"/>
          <w:lang w:val="en-AU"/>
        </w:rPr>
        <w:t xml:space="preserve"> </w:t>
      </w:r>
      <w:r w:rsidR="00392149" w:rsidRPr="001837AF">
        <w:rPr>
          <w:color w:val="5B5D62" w:themeColor="accent6" w:themeShade="80"/>
          <w:lang w:val="en-AU"/>
        </w:rPr>
        <w:t>and</w:t>
      </w:r>
      <w:r w:rsidR="00DE5E13" w:rsidRPr="001837AF">
        <w:rPr>
          <w:color w:val="5B5D62" w:themeColor="accent6" w:themeShade="80"/>
          <w:lang w:val="en-AU"/>
        </w:rPr>
        <w:t xml:space="preserve"> </w:t>
      </w:r>
      <w:r w:rsidR="00533EE7" w:rsidRPr="001837AF">
        <w:rPr>
          <w:color w:val="5B5D62" w:themeColor="accent6" w:themeShade="80"/>
          <w:lang w:val="en-AU"/>
        </w:rPr>
        <w:t>g</w:t>
      </w:r>
      <w:r w:rsidR="00DE5E13" w:rsidRPr="001837AF">
        <w:rPr>
          <w:color w:val="5B5D62" w:themeColor="accent6" w:themeShade="80"/>
          <w:lang w:val="en-AU"/>
        </w:rPr>
        <w:t xml:space="preserve">lobal bonds fell </w:t>
      </w:r>
      <w:r w:rsidR="00533EE7" w:rsidRPr="001837AF">
        <w:rPr>
          <w:color w:val="5B5D62" w:themeColor="accent6" w:themeShade="80"/>
          <w:lang w:val="en-AU"/>
        </w:rPr>
        <w:t xml:space="preserve">as </w:t>
      </w:r>
      <w:r w:rsidR="00F975F5">
        <w:rPr>
          <w:color w:val="5B5D62" w:themeColor="accent6" w:themeShade="80"/>
          <w:lang w:val="en-AU"/>
        </w:rPr>
        <w:t>markets</w:t>
      </w:r>
      <w:r w:rsidR="001837AF" w:rsidRPr="001837AF">
        <w:rPr>
          <w:color w:val="5B5D62" w:themeColor="accent6" w:themeShade="80"/>
          <w:lang w:val="en-AU"/>
        </w:rPr>
        <w:t xml:space="preserve"> reacted to economic data and central bank comments.</w:t>
      </w:r>
    </w:p>
    <w:p w14:paraId="0AEE6AE4" w14:textId="5EC9FBE7" w:rsidR="00A87B68" w:rsidRPr="00A52073" w:rsidRDefault="00A52073" w:rsidP="00A87B68">
      <w:pPr>
        <w:pStyle w:val="ListParagraph"/>
        <w:numPr>
          <w:ilvl w:val="0"/>
          <w:numId w:val="10"/>
        </w:numPr>
        <w:jc w:val="both"/>
        <w:rPr>
          <w:color w:val="5B5D62" w:themeColor="accent6" w:themeShade="80"/>
          <w:lang w:val="en-AU"/>
        </w:rPr>
      </w:pPr>
      <w:r>
        <w:rPr>
          <w:b/>
          <w:bCs/>
          <w:color w:val="5B5D62" w:themeColor="accent6" w:themeShade="80"/>
          <w:lang w:val="en-AU"/>
        </w:rPr>
        <w:t xml:space="preserve">US Dollar </w:t>
      </w:r>
      <w:r w:rsidR="0069111B">
        <w:rPr>
          <w:b/>
          <w:bCs/>
          <w:color w:val="5B5D62" w:themeColor="accent6" w:themeShade="80"/>
          <w:lang w:val="en-AU"/>
        </w:rPr>
        <w:t>Regains Ground</w:t>
      </w:r>
      <w:r w:rsidR="00A87B68" w:rsidRPr="00A52073">
        <w:rPr>
          <w:b/>
          <w:bCs/>
          <w:color w:val="5B5D62" w:themeColor="accent6" w:themeShade="80"/>
          <w:lang w:val="en-AU"/>
        </w:rPr>
        <w:t>:</w:t>
      </w:r>
      <w:r w:rsidR="00A87B68" w:rsidRPr="00A52073">
        <w:rPr>
          <w:color w:val="5B5D62" w:themeColor="accent6" w:themeShade="80"/>
          <w:lang w:val="en-AU"/>
        </w:rPr>
        <w:t xml:space="preserve"> </w:t>
      </w:r>
      <w:r w:rsidR="005F2F95" w:rsidRPr="00A52073">
        <w:rPr>
          <w:color w:val="5B5D62" w:themeColor="accent6" w:themeShade="80"/>
          <w:lang w:val="en-AU"/>
        </w:rPr>
        <w:t xml:space="preserve">The US Dollar gained over quarter while the Australian Dollar fell </w:t>
      </w:r>
      <w:r w:rsidRPr="00A52073">
        <w:rPr>
          <w:color w:val="5B5D62" w:themeColor="accent6" w:themeShade="80"/>
          <w:lang w:val="en-AU"/>
        </w:rPr>
        <w:t>as expectations for US rate cuts were pushed back.</w:t>
      </w:r>
    </w:p>
    <w:p w14:paraId="77875390" w14:textId="123DB572" w:rsidR="00A87B68" w:rsidRPr="0098245A" w:rsidRDefault="00A87B68" w:rsidP="00A87B68">
      <w:pPr>
        <w:pStyle w:val="ListParagraph"/>
        <w:numPr>
          <w:ilvl w:val="0"/>
          <w:numId w:val="10"/>
        </w:numPr>
        <w:jc w:val="both"/>
        <w:rPr>
          <w:color w:val="5B5D62" w:themeColor="accent6" w:themeShade="80"/>
          <w:lang w:val="en-AU"/>
        </w:rPr>
      </w:pPr>
      <w:r w:rsidRPr="0098245A">
        <w:rPr>
          <w:b/>
          <w:bCs/>
          <w:color w:val="5B5D62" w:themeColor="accent6" w:themeShade="80"/>
          <w:lang w:val="en-AU"/>
        </w:rPr>
        <w:t>Cautious 2024 Outlook:</w:t>
      </w:r>
      <w:r w:rsidRPr="0098245A">
        <w:rPr>
          <w:color w:val="5B5D62" w:themeColor="accent6" w:themeShade="80"/>
          <w:lang w:val="en-AU"/>
        </w:rPr>
        <w:t xml:space="preserve"> Expect market volatility with a focus on diversified equities and medium-duration bonds.</w:t>
      </w:r>
    </w:p>
    <w:p w14:paraId="750E889B" w14:textId="3308870C" w:rsidR="00B96095" w:rsidRPr="00F02B7E" w:rsidRDefault="00A87B68" w:rsidP="00A87B68">
      <w:pPr>
        <w:pStyle w:val="ListParagraph"/>
        <w:numPr>
          <w:ilvl w:val="0"/>
          <w:numId w:val="10"/>
        </w:numPr>
        <w:jc w:val="both"/>
        <w:rPr>
          <w:color w:val="5B5D62" w:themeColor="accent6" w:themeShade="80"/>
          <w:lang w:val="en-AU"/>
        </w:rPr>
        <w:sectPr w:rsidR="00B96095" w:rsidRPr="00F02B7E" w:rsidSect="00364E83">
          <w:type w:val="continuous"/>
          <w:pgSz w:w="11906" w:h="16838"/>
          <w:pgMar w:top="1531" w:right="1021" w:bottom="1701" w:left="1021" w:header="709" w:footer="794" w:gutter="0"/>
          <w:cols w:space="708"/>
          <w:docGrid w:linePitch="360"/>
        </w:sectPr>
      </w:pPr>
      <w:r w:rsidRPr="00F02B7E">
        <w:rPr>
          <w:b/>
          <w:bCs/>
          <w:color w:val="5B5D62" w:themeColor="accent6" w:themeShade="80"/>
          <w:lang w:val="en-AU"/>
        </w:rPr>
        <w:t>Sector Performance:</w:t>
      </w:r>
      <w:r w:rsidR="00C1734A" w:rsidRPr="00F02B7E">
        <w:rPr>
          <w:color w:val="5B5D62" w:themeColor="accent6" w:themeShade="80"/>
          <w:lang w:val="en-AU"/>
        </w:rPr>
        <w:t xml:space="preserve"> Technology outshone the rest of the market globally and </w:t>
      </w:r>
      <w:r w:rsidR="00F02B7E" w:rsidRPr="00F02B7E">
        <w:rPr>
          <w:color w:val="5B5D62" w:themeColor="accent6" w:themeShade="80"/>
          <w:lang w:val="en-AU"/>
        </w:rPr>
        <w:t xml:space="preserve">even </w:t>
      </w:r>
      <w:r w:rsidR="00C1734A" w:rsidRPr="00F02B7E">
        <w:rPr>
          <w:color w:val="5B5D62" w:themeColor="accent6" w:themeShade="80"/>
          <w:lang w:val="en-AU"/>
        </w:rPr>
        <w:t>in Australia</w:t>
      </w:r>
      <w:r w:rsidR="00F02B7E" w:rsidRPr="00F02B7E">
        <w:rPr>
          <w:color w:val="5B5D62" w:themeColor="accent6" w:themeShade="80"/>
          <w:lang w:val="en-AU"/>
        </w:rPr>
        <w:t xml:space="preserve"> despite a lack of </w:t>
      </w:r>
      <w:r w:rsidR="007111BF">
        <w:rPr>
          <w:color w:val="5B5D62" w:themeColor="accent6" w:themeShade="80"/>
          <w:lang w:val="en-AU"/>
        </w:rPr>
        <w:t xml:space="preserve">strong </w:t>
      </w:r>
      <w:r w:rsidR="00F02B7E" w:rsidRPr="00F02B7E">
        <w:rPr>
          <w:color w:val="5B5D62" w:themeColor="accent6" w:themeShade="80"/>
          <w:lang w:val="en-AU"/>
        </w:rPr>
        <w:t>domestic investment options</w:t>
      </w:r>
      <w:r w:rsidR="007111BF">
        <w:rPr>
          <w:color w:val="5B5D62" w:themeColor="accent6" w:themeShade="80"/>
          <w:lang w:val="en-AU"/>
        </w:rPr>
        <w:t xml:space="preserve"> in the sector</w:t>
      </w:r>
      <w:r w:rsidR="00C1734A" w:rsidRPr="00F02B7E">
        <w:rPr>
          <w:color w:val="5B5D62" w:themeColor="accent6" w:themeShade="80"/>
          <w:lang w:val="en-AU"/>
        </w:rPr>
        <w:t>.</w:t>
      </w:r>
    </w:p>
    <w:p w14:paraId="4D7C607C" w14:textId="28B79A89" w:rsidR="005E73A2" w:rsidRDefault="00E635DA" w:rsidP="003725D5">
      <w:pPr>
        <w:pStyle w:val="Heading1"/>
        <w:jc w:val="both"/>
        <w:rPr>
          <w:lang w:val="en-AU"/>
        </w:rPr>
      </w:pPr>
      <w:r w:rsidRPr="00DE4A0E">
        <w:rPr>
          <w:lang w:val="en-AU"/>
        </w:rPr>
        <w:t>Markets in Review</w:t>
      </w:r>
    </w:p>
    <w:p w14:paraId="486CF7E2" w14:textId="28D73DDD" w:rsidR="00325558" w:rsidRDefault="004B4B6B" w:rsidP="00C53134">
      <w:pPr>
        <w:jc w:val="both"/>
        <w:rPr>
          <w:noProof/>
        </w:rPr>
      </w:pPr>
      <w:bookmarkStart w:id="3" w:name="_Hlk140493879"/>
      <w:r>
        <w:rPr>
          <w:color w:val="5B5D62" w:themeColor="accent6" w:themeShade="80"/>
          <w:lang w:val="en-AU"/>
        </w:rPr>
        <w:t>Entering 2024</w:t>
      </w:r>
      <w:r w:rsidR="006D7C5E">
        <w:rPr>
          <w:color w:val="5B5D62" w:themeColor="accent6" w:themeShade="80"/>
          <w:lang w:val="en-AU"/>
        </w:rPr>
        <w:t>,</w:t>
      </w:r>
      <w:r w:rsidR="00265890">
        <w:rPr>
          <w:color w:val="5B5D62" w:themeColor="accent6" w:themeShade="80"/>
          <w:lang w:val="en-AU"/>
        </w:rPr>
        <w:t xml:space="preserve"> </w:t>
      </w:r>
      <w:r w:rsidR="006E2852">
        <w:rPr>
          <w:color w:val="5B5D62" w:themeColor="accent6" w:themeShade="80"/>
          <w:lang w:val="en-AU"/>
        </w:rPr>
        <w:t>investors</w:t>
      </w:r>
      <w:r w:rsidR="00F83ECE">
        <w:rPr>
          <w:color w:val="5B5D62" w:themeColor="accent6" w:themeShade="80"/>
          <w:lang w:val="en-AU"/>
        </w:rPr>
        <w:t xml:space="preserve"> exhibited</w:t>
      </w:r>
      <w:r w:rsidR="006E2852">
        <w:rPr>
          <w:color w:val="5B5D62" w:themeColor="accent6" w:themeShade="80"/>
          <w:lang w:val="en-AU"/>
        </w:rPr>
        <w:t xml:space="preserve"> </w:t>
      </w:r>
      <w:r w:rsidR="007606E2">
        <w:rPr>
          <w:color w:val="5B5D62" w:themeColor="accent6" w:themeShade="80"/>
          <w:lang w:val="en-AU"/>
        </w:rPr>
        <w:t>cauti</w:t>
      </w:r>
      <w:r w:rsidR="00F83ECE">
        <w:rPr>
          <w:color w:val="5B5D62" w:themeColor="accent6" w:themeShade="80"/>
          <w:lang w:val="en-AU"/>
        </w:rPr>
        <w:t>on</w:t>
      </w:r>
      <w:r w:rsidR="007606E2">
        <w:rPr>
          <w:color w:val="5B5D62" w:themeColor="accent6" w:themeShade="80"/>
          <w:lang w:val="en-AU"/>
        </w:rPr>
        <w:t xml:space="preserve"> as they </w:t>
      </w:r>
      <w:r w:rsidR="006E2852">
        <w:rPr>
          <w:color w:val="5B5D62" w:themeColor="accent6" w:themeShade="80"/>
          <w:lang w:val="en-AU"/>
        </w:rPr>
        <w:t xml:space="preserve">waited to see the effects </w:t>
      </w:r>
      <w:r w:rsidR="00ED3C4D">
        <w:rPr>
          <w:color w:val="5B5D62" w:themeColor="accent6" w:themeShade="80"/>
          <w:lang w:val="en-AU"/>
        </w:rPr>
        <w:t>of aggressive rate hikes on the wider economy</w:t>
      </w:r>
      <w:r w:rsidR="00B23E89">
        <w:rPr>
          <w:color w:val="5B5D62" w:themeColor="accent6" w:themeShade="80"/>
          <w:lang w:val="en-AU"/>
        </w:rPr>
        <w:t xml:space="preserve">. </w:t>
      </w:r>
      <w:r w:rsidR="002F0048">
        <w:rPr>
          <w:color w:val="5B5D62" w:themeColor="accent6" w:themeShade="80"/>
          <w:lang w:val="en-AU"/>
        </w:rPr>
        <w:t>Thus far</w:t>
      </w:r>
      <w:r w:rsidR="0013020A">
        <w:rPr>
          <w:color w:val="5B5D62" w:themeColor="accent6" w:themeShade="80"/>
          <w:lang w:val="en-AU"/>
        </w:rPr>
        <w:t xml:space="preserve">, investors have been </w:t>
      </w:r>
      <w:r w:rsidR="006F131D">
        <w:rPr>
          <w:color w:val="5B5D62" w:themeColor="accent6" w:themeShade="80"/>
          <w:lang w:val="en-AU"/>
        </w:rPr>
        <w:t>encouraged by the resilience of the</w:t>
      </w:r>
      <w:r w:rsidR="00511FE4">
        <w:rPr>
          <w:color w:val="5B5D62" w:themeColor="accent6" w:themeShade="80"/>
          <w:lang w:val="en-AU"/>
        </w:rPr>
        <w:t xml:space="preserve"> </w:t>
      </w:r>
      <w:r w:rsidR="00D777FA">
        <w:rPr>
          <w:color w:val="5B5D62" w:themeColor="accent6" w:themeShade="80"/>
          <w:lang w:val="en-AU"/>
        </w:rPr>
        <w:t>global economy</w:t>
      </w:r>
      <w:r w:rsidR="009A243B">
        <w:rPr>
          <w:color w:val="5B5D62" w:themeColor="accent6" w:themeShade="80"/>
          <w:lang w:val="en-AU"/>
        </w:rPr>
        <w:t xml:space="preserve"> and subsequently all major</w:t>
      </w:r>
      <w:r w:rsidR="0082049B">
        <w:rPr>
          <w:color w:val="5B5D62" w:themeColor="accent6" w:themeShade="80"/>
          <w:lang w:val="en-AU"/>
        </w:rPr>
        <w:t xml:space="preserve"> equity markets</w:t>
      </w:r>
      <w:r w:rsidR="009A243B">
        <w:rPr>
          <w:color w:val="5B5D62" w:themeColor="accent6" w:themeShade="80"/>
          <w:lang w:val="en-AU"/>
        </w:rPr>
        <w:t xml:space="preserve"> finished positive for the quarter</w:t>
      </w:r>
      <w:r w:rsidR="00A93F77">
        <w:rPr>
          <w:color w:val="5B5D62" w:themeColor="accent6" w:themeShade="80"/>
          <w:lang w:val="en-AU"/>
        </w:rPr>
        <w:t xml:space="preserve"> with many reaching </w:t>
      </w:r>
      <w:r w:rsidR="00176C19">
        <w:rPr>
          <w:color w:val="5B5D62" w:themeColor="accent6" w:themeShade="80"/>
          <w:lang w:val="en-AU"/>
        </w:rPr>
        <w:t>all-time</w:t>
      </w:r>
      <w:r w:rsidR="00A93F77">
        <w:rPr>
          <w:color w:val="5B5D62" w:themeColor="accent6" w:themeShade="80"/>
          <w:lang w:val="en-AU"/>
        </w:rPr>
        <w:t xml:space="preserve"> highs</w:t>
      </w:r>
      <w:r w:rsidR="00D777FA">
        <w:rPr>
          <w:color w:val="5B5D62" w:themeColor="accent6" w:themeShade="80"/>
          <w:lang w:val="en-AU"/>
        </w:rPr>
        <w:t xml:space="preserve">. </w:t>
      </w:r>
      <w:r w:rsidR="0082049B">
        <w:rPr>
          <w:color w:val="5B5D62" w:themeColor="accent6" w:themeShade="80"/>
          <w:lang w:val="en-AU"/>
        </w:rPr>
        <w:t xml:space="preserve">The </w:t>
      </w:r>
      <w:r w:rsidR="00E4613A">
        <w:rPr>
          <w:color w:val="5B5D62" w:themeColor="accent6" w:themeShade="80"/>
          <w:lang w:val="en-AU"/>
        </w:rPr>
        <w:t>best perfor</w:t>
      </w:r>
      <w:r w:rsidR="000069D7">
        <w:rPr>
          <w:color w:val="5B5D62" w:themeColor="accent6" w:themeShade="80"/>
          <w:lang w:val="en-AU"/>
        </w:rPr>
        <w:t xml:space="preserve">ming </w:t>
      </w:r>
      <w:r w:rsidR="00917891">
        <w:rPr>
          <w:color w:val="5B5D62" w:themeColor="accent6" w:themeShade="80"/>
          <w:lang w:val="en-AU"/>
        </w:rPr>
        <w:t>region</w:t>
      </w:r>
      <w:r w:rsidR="00E4613A">
        <w:rPr>
          <w:color w:val="5B5D62" w:themeColor="accent6" w:themeShade="80"/>
          <w:lang w:val="en-AU"/>
        </w:rPr>
        <w:t xml:space="preserve"> was the Eurozone</w:t>
      </w:r>
      <w:r w:rsidR="00474B20">
        <w:rPr>
          <w:color w:val="5B5D62" w:themeColor="accent6" w:themeShade="80"/>
          <w:lang w:val="en-AU"/>
        </w:rPr>
        <w:t xml:space="preserve"> which </w:t>
      </w:r>
      <w:r w:rsidR="00E2190F">
        <w:rPr>
          <w:color w:val="5B5D62" w:themeColor="accent6" w:themeShade="80"/>
          <w:lang w:val="en-AU"/>
        </w:rPr>
        <w:t xml:space="preserve">benefitted from </w:t>
      </w:r>
      <w:r w:rsidR="00F5004E">
        <w:rPr>
          <w:color w:val="5B5D62" w:themeColor="accent6" w:themeShade="80"/>
          <w:lang w:val="en-AU"/>
        </w:rPr>
        <w:t xml:space="preserve">investors de-concentrating their portfolios away from the US </w:t>
      </w:r>
      <w:r w:rsidR="00152AC0">
        <w:rPr>
          <w:color w:val="5B5D62" w:themeColor="accent6" w:themeShade="80"/>
          <w:lang w:val="en-AU"/>
        </w:rPr>
        <w:t>where</w:t>
      </w:r>
      <w:r w:rsidR="00F5004E">
        <w:rPr>
          <w:color w:val="5B5D62" w:themeColor="accent6" w:themeShade="80"/>
          <w:lang w:val="en-AU"/>
        </w:rPr>
        <w:t xml:space="preserve"> valuations continue to be stretched</w:t>
      </w:r>
      <w:r w:rsidR="00B06571">
        <w:rPr>
          <w:color w:val="5B5D62" w:themeColor="accent6" w:themeShade="80"/>
          <w:lang w:val="en-AU"/>
        </w:rPr>
        <w:t>, especially</w:t>
      </w:r>
      <w:r w:rsidR="006F4631">
        <w:rPr>
          <w:color w:val="5B5D62" w:themeColor="accent6" w:themeShade="80"/>
          <w:lang w:val="en-AU"/>
        </w:rPr>
        <w:t xml:space="preserve"> </w:t>
      </w:r>
      <w:r w:rsidR="00043480">
        <w:rPr>
          <w:color w:val="5B5D62" w:themeColor="accent6" w:themeShade="80"/>
          <w:lang w:val="en-AU"/>
        </w:rPr>
        <w:t>in comparison</w:t>
      </w:r>
      <w:r w:rsidR="00D5601B">
        <w:rPr>
          <w:color w:val="5B5D62" w:themeColor="accent6" w:themeShade="80"/>
          <w:lang w:val="en-AU"/>
        </w:rPr>
        <w:t xml:space="preserve"> to Eur</w:t>
      </w:r>
      <w:r w:rsidR="00B06571">
        <w:rPr>
          <w:color w:val="5B5D62" w:themeColor="accent6" w:themeShade="80"/>
          <w:lang w:val="en-AU"/>
        </w:rPr>
        <w:t>ope</w:t>
      </w:r>
      <w:r w:rsidR="00D5601B">
        <w:rPr>
          <w:color w:val="5B5D62" w:themeColor="accent6" w:themeShade="80"/>
          <w:lang w:val="en-AU"/>
        </w:rPr>
        <w:t xml:space="preserve"> which is </w:t>
      </w:r>
      <w:r w:rsidR="00B06571">
        <w:rPr>
          <w:color w:val="5B5D62" w:themeColor="accent6" w:themeShade="80"/>
          <w:lang w:val="en-AU"/>
        </w:rPr>
        <w:t xml:space="preserve">currently </w:t>
      </w:r>
      <w:r w:rsidR="00D5601B">
        <w:rPr>
          <w:color w:val="5B5D62" w:themeColor="accent6" w:themeShade="80"/>
          <w:lang w:val="en-AU"/>
        </w:rPr>
        <w:t>trading at a discount</w:t>
      </w:r>
      <w:r w:rsidR="00B06571">
        <w:rPr>
          <w:color w:val="5B5D62" w:themeColor="accent6" w:themeShade="80"/>
          <w:lang w:val="en-AU"/>
        </w:rPr>
        <w:t>.</w:t>
      </w:r>
      <w:r w:rsidR="00234FD8">
        <w:rPr>
          <w:color w:val="5B5D62" w:themeColor="accent6" w:themeShade="80"/>
          <w:lang w:val="en-AU"/>
        </w:rPr>
        <w:t xml:space="preserve"> </w:t>
      </w:r>
      <w:r w:rsidR="00F60BC2">
        <w:rPr>
          <w:color w:val="5B5D62" w:themeColor="accent6" w:themeShade="80"/>
          <w:lang w:val="en-AU"/>
        </w:rPr>
        <w:t xml:space="preserve">Despite this, the US </w:t>
      </w:r>
      <w:r w:rsidR="00670146">
        <w:rPr>
          <w:color w:val="5B5D62" w:themeColor="accent6" w:themeShade="80"/>
          <w:lang w:val="en-AU"/>
        </w:rPr>
        <w:t xml:space="preserve">still </w:t>
      </w:r>
      <w:r w:rsidR="00F60BC2">
        <w:rPr>
          <w:color w:val="5B5D62" w:themeColor="accent6" w:themeShade="80"/>
          <w:lang w:val="en-AU"/>
        </w:rPr>
        <w:t>performed well over the quarter returning 10.2%</w:t>
      </w:r>
      <w:r w:rsidR="000578CE">
        <w:rPr>
          <w:color w:val="5B5D62" w:themeColor="accent6" w:themeShade="80"/>
          <w:lang w:val="en-AU"/>
        </w:rPr>
        <w:t xml:space="preserve">, </w:t>
      </w:r>
      <w:r w:rsidR="008B713D">
        <w:rPr>
          <w:color w:val="5B5D62" w:themeColor="accent6" w:themeShade="80"/>
          <w:lang w:val="en-AU"/>
        </w:rPr>
        <w:t>even with</w:t>
      </w:r>
      <w:r w:rsidR="000578CE">
        <w:rPr>
          <w:color w:val="5B5D62" w:themeColor="accent6" w:themeShade="80"/>
          <w:lang w:val="en-AU"/>
        </w:rPr>
        <w:t xml:space="preserve"> </w:t>
      </w:r>
      <w:r w:rsidR="00C13A6F">
        <w:rPr>
          <w:color w:val="5B5D62" w:themeColor="accent6" w:themeShade="80"/>
          <w:lang w:val="en-AU"/>
        </w:rPr>
        <w:t>inflation not slowing as</w:t>
      </w:r>
      <w:r w:rsidR="008B713D">
        <w:rPr>
          <w:color w:val="5B5D62" w:themeColor="accent6" w:themeShade="80"/>
          <w:lang w:val="en-AU"/>
        </w:rPr>
        <w:t xml:space="preserve"> expected.</w:t>
      </w:r>
    </w:p>
    <w:p w14:paraId="7030D694" w14:textId="0F0B87FF" w:rsidR="004B4B6B" w:rsidRDefault="00325558" w:rsidP="00C53134">
      <w:pPr>
        <w:jc w:val="both"/>
        <w:rPr>
          <w:color w:val="5B5D62" w:themeColor="accent6" w:themeShade="80"/>
          <w:lang w:val="en-AU"/>
        </w:rPr>
      </w:pPr>
      <w:r>
        <w:rPr>
          <w:noProof/>
        </w:rPr>
        <w:drawing>
          <wp:inline distT="0" distB="0" distL="0" distR="0" wp14:anchorId="18180671" wp14:editId="2300B8B9">
            <wp:extent cx="2750820" cy="2061012"/>
            <wp:effectExtent l="0" t="0" r="0" b="0"/>
            <wp:docPr id="1351709596" name="Picture 1" descr="A graph of the return of major share mark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09596" name="Picture 1" descr="A graph of the return of major share markets&#10;&#10;Description automatically generated"/>
                    <pic:cNvPicPr/>
                  </pic:nvPicPr>
                  <pic:blipFill>
                    <a:blip r:embed="rId14"/>
                    <a:stretch>
                      <a:fillRect/>
                    </a:stretch>
                  </pic:blipFill>
                  <pic:spPr>
                    <a:xfrm>
                      <a:off x="0" y="0"/>
                      <a:ext cx="2764449" cy="2071223"/>
                    </a:xfrm>
                    <a:prstGeom prst="rect">
                      <a:avLst/>
                    </a:prstGeom>
                  </pic:spPr>
                </pic:pic>
              </a:graphicData>
            </a:graphic>
          </wp:inline>
        </w:drawing>
      </w:r>
    </w:p>
    <w:p w14:paraId="367AC385" w14:textId="1B6EFC4F" w:rsidR="00EC1052" w:rsidRPr="0044295F" w:rsidRDefault="008761C4" w:rsidP="00414080">
      <w:pPr>
        <w:jc w:val="both"/>
        <w:rPr>
          <w:color w:val="5B5D62" w:themeColor="accent6" w:themeShade="80"/>
          <w:lang w:val="en-AU"/>
        </w:rPr>
      </w:pPr>
      <w:r>
        <w:rPr>
          <w:color w:val="5B5D62" w:themeColor="accent6" w:themeShade="80"/>
          <w:lang w:val="en-AU"/>
        </w:rPr>
        <w:t xml:space="preserve">Fixed Income had a mixed month </w:t>
      </w:r>
      <w:r w:rsidR="00113DFC">
        <w:rPr>
          <w:color w:val="5B5D62" w:themeColor="accent6" w:themeShade="80"/>
          <w:lang w:val="en-AU"/>
        </w:rPr>
        <w:t xml:space="preserve">as we start to see divergence in </w:t>
      </w:r>
      <w:r w:rsidR="00943771">
        <w:rPr>
          <w:color w:val="5B5D62" w:themeColor="accent6" w:themeShade="80"/>
          <w:lang w:val="en-AU"/>
        </w:rPr>
        <w:t xml:space="preserve">different economies and sectors. </w:t>
      </w:r>
      <w:r w:rsidR="0044295F" w:rsidRPr="0044295F">
        <w:rPr>
          <w:color w:val="5B5D62" w:themeColor="accent6" w:themeShade="80"/>
          <w:lang w:val="en-AU"/>
        </w:rPr>
        <w:t xml:space="preserve">The 10-year U.S. Treasury yield concluded the quarter at 4.2%, up by 32 basis points since the </w:t>
      </w:r>
      <w:r w:rsidR="00943771">
        <w:rPr>
          <w:color w:val="5B5D62" w:themeColor="accent6" w:themeShade="80"/>
          <w:lang w:val="en-AU"/>
        </w:rPr>
        <w:t xml:space="preserve">start of the year. This was a result of </w:t>
      </w:r>
      <w:r w:rsidR="00927191">
        <w:rPr>
          <w:color w:val="5B5D62" w:themeColor="accent6" w:themeShade="80"/>
          <w:lang w:val="en-AU"/>
        </w:rPr>
        <w:t>stronger than expected growth and stick</w:t>
      </w:r>
      <w:r w:rsidR="008A323F">
        <w:rPr>
          <w:color w:val="5B5D62" w:themeColor="accent6" w:themeShade="80"/>
          <w:lang w:val="en-AU"/>
        </w:rPr>
        <w:t>ier</w:t>
      </w:r>
      <w:r w:rsidR="00927191">
        <w:rPr>
          <w:color w:val="5B5D62" w:themeColor="accent6" w:themeShade="80"/>
          <w:lang w:val="en-AU"/>
        </w:rPr>
        <w:t xml:space="preserve"> inflation</w:t>
      </w:r>
      <w:r w:rsidR="00F461BA">
        <w:rPr>
          <w:color w:val="5B5D62" w:themeColor="accent6" w:themeShade="80"/>
          <w:lang w:val="en-AU"/>
        </w:rPr>
        <w:t xml:space="preserve"> </w:t>
      </w:r>
      <w:r w:rsidR="008A323F">
        <w:rPr>
          <w:color w:val="5B5D62" w:themeColor="accent6" w:themeShade="80"/>
          <w:lang w:val="en-AU"/>
        </w:rPr>
        <w:t>leading fixed income investors to re-</w:t>
      </w:r>
      <w:r w:rsidR="00DD1C86">
        <w:rPr>
          <w:color w:val="5B5D62" w:themeColor="accent6" w:themeShade="80"/>
          <w:lang w:val="en-AU"/>
        </w:rPr>
        <w:t>think</w:t>
      </w:r>
      <w:r w:rsidR="008A323F">
        <w:rPr>
          <w:color w:val="5B5D62" w:themeColor="accent6" w:themeShade="80"/>
          <w:lang w:val="en-AU"/>
        </w:rPr>
        <w:t xml:space="preserve"> </w:t>
      </w:r>
      <w:r w:rsidR="00DD1C86">
        <w:rPr>
          <w:color w:val="5B5D62" w:themeColor="accent6" w:themeShade="80"/>
          <w:lang w:val="en-AU"/>
        </w:rPr>
        <w:t>rate cut predictions.</w:t>
      </w:r>
      <w:r w:rsidR="008A323F">
        <w:rPr>
          <w:color w:val="5B5D62" w:themeColor="accent6" w:themeShade="80"/>
          <w:lang w:val="en-AU"/>
        </w:rPr>
        <w:t xml:space="preserve"> </w:t>
      </w:r>
    </w:p>
    <w:p w14:paraId="06274B46" w14:textId="383E35D1" w:rsidR="00573373" w:rsidRDefault="002E2A10" w:rsidP="003725D5">
      <w:pPr>
        <w:pStyle w:val="Heading1"/>
        <w:jc w:val="both"/>
        <w:rPr>
          <w:lang w:val="en-AU"/>
        </w:rPr>
      </w:pPr>
      <w:r w:rsidRPr="00DE4A0E">
        <w:rPr>
          <w:lang w:val="en-AU"/>
        </w:rPr>
        <w:t>Returns</w:t>
      </w:r>
    </w:p>
    <w:p w14:paraId="4BC74A30" w14:textId="2D8165CB" w:rsidR="00B518A1" w:rsidRDefault="00B86CE7" w:rsidP="003725D5">
      <w:pPr>
        <w:jc w:val="both"/>
        <w:rPr>
          <w:color w:val="5B5D62" w:themeColor="accent6" w:themeShade="80"/>
          <w:lang w:val="en-AU"/>
        </w:rPr>
      </w:pPr>
      <w:r w:rsidRPr="00B86CE7">
        <w:rPr>
          <w:noProof/>
        </w:rPr>
        <w:drawing>
          <wp:inline distT="0" distB="0" distL="0" distR="0" wp14:anchorId="582AE2CE" wp14:editId="0C8E32D2">
            <wp:extent cx="2895600" cy="2166958"/>
            <wp:effectExtent l="0" t="0" r="0" b="5080"/>
            <wp:docPr id="927102956" name="Picture 1" descr="A graph of blue and 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02956" name="Picture 1" descr="A graph of blue and red bars&#10;&#10;Description automatically generated"/>
                    <pic:cNvPicPr/>
                  </pic:nvPicPr>
                  <pic:blipFill>
                    <a:blip r:embed="rId15"/>
                    <a:stretch>
                      <a:fillRect/>
                    </a:stretch>
                  </pic:blipFill>
                  <pic:spPr>
                    <a:xfrm>
                      <a:off x="0" y="0"/>
                      <a:ext cx="2958529" cy="2214051"/>
                    </a:xfrm>
                    <a:prstGeom prst="rect">
                      <a:avLst/>
                    </a:prstGeom>
                  </pic:spPr>
                </pic:pic>
              </a:graphicData>
            </a:graphic>
          </wp:inline>
        </w:drawing>
      </w:r>
    </w:p>
    <w:p w14:paraId="6975F172" w14:textId="0B3E4C65" w:rsidR="00EC1052" w:rsidRDefault="009A533A" w:rsidP="00C53134">
      <w:pPr>
        <w:jc w:val="both"/>
        <w:rPr>
          <w:color w:val="5B5D62" w:themeColor="accent6" w:themeShade="80"/>
          <w:lang w:val="en-AU"/>
        </w:rPr>
      </w:pPr>
      <w:r>
        <w:rPr>
          <w:color w:val="5B5D62" w:themeColor="accent6" w:themeShade="80"/>
          <w:lang w:val="en-AU"/>
        </w:rPr>
        <w:t xml:space="preserve">Throughout the first quarter of 2024 </w:t>
      </w:r>
      <w:r w:rsidR="001D1073">
        <w:rPr>
          <w:color w:val="5B5D62" w:themeColor="accent6" w:themeShade="80"/>
          <w:lang w:val="en-AU"/>
        </w:rPr>
        <w:t xml:space="preserve">the </w:t>
      </w:r>
      <w:r w:rsidR="00305173">
        <w:rPr>
          <w:color w:val="5B5D62" w:themeColor="accent6" w:themeShade="80"/>
          <w:lang w:val="en-AU"/>
        </w:rPr>
        <w:t>S&amp;P/</w:t>
      </w:r>
      <w:r w:rsidR="002E50BA">
        <w:rPr>
          <w:color w:val="5B5D62" w:themeColor="accent6" w:themeShade="80"/>
          <w:lang w:val="en-AU"/>
        </w:rPr>
        <w:t>ASX</w:t>
      </w:r>
      <w:r w:rsidR="00064C5A">
        <w:rPr>
          <w:color w:val="5B5D62" w:themeColor="accent6" w:themeShade="80"/>
          <w:lang w:val="en-AU"/>
        </w:rPr>
        <w:t xml:space="preserve"> 200 </w:t>
      </w:r>
      <w:r w:rsidR="002E50BA">
        <w:rPr>
          <w:color w:val="5B5D62" w:themeColor="accent6" w:themeShade="80"/>
          <w:lang w:val="en-AU"/>
        </w:rPr>
        <w:t>returned around 4%</w:t>
      </w:r>
      <w:r w:rsidR="00C72E9C">
        <w:rPr>
          <w:color w:val="5B5D62" w:themeColor="accent6" w:themeShade="80"/>
          <w:lang w:val="en-AU"/>
        </w:rPr>
        <w:t>, t</w:t>
      </w:r>
      <w:r w:rsidR="008B66E7">
        <w:rPr>
          <w:color w:val="5B5D62" w:themeColor="accent6" w:themeShade="80"/>
          <w:lang w:val="en-AU"/>
        </w:rPr>
        <w:t xml:space="preserve">his pace being much slower than what we saw </w:t>
      </w:r>
      <w:r w:rsidR="008D4F90">
        <w:rPr>
          <w:color w:val="5B5D62" w:themeColor="accent6" w:themeShade="80"/>
          <w:lang w:val="en-AU"/>
        </w:rPr>
        <w:t>near the end</w:t>
      </w:r>
      <w:r w:rsidR="008B66E7">
        <w:rPr>
          <w:color w:val="5B5D62" w:themeColor="accent6" w:themeShade="80"/>
          <w:lang w:val="en-AU"/>
        </w:rPr>
        <w:t xml:space="preserve"> of 2023</w:t>
      </w:r>
      <w:r w:rsidR="00260088">
        <w:rPr>
          <w:color w:val="5B5D62" w:themeColor="accent6" w:themeShade="80"/>
          <w:lang w:val="en-AU"/>
        </w:rPr>
        <w:t xml:space="preserve"> </w:t>
      </w:r>
      <w:r w:rsidR="00F017E2">
        <w:rPr>
          <w:color w:val="5B5D62" w:themeColor="accent6" w:themeShade="80"/>
          <w:lang w:val="en-AU"/>
        </w:rPr>
        <w:t xml:space="preserve">as </w:t>
      </w:r>
      <w:r w:rsidR="00C45DC4">
        <w:rPr>
          <w:color w:val="5B5D62" w:themeColor="accent6" w:themeShade="80"/>
          <w:lang w:val="en-AU"/>
        </w:rPr>
        <w:t xml:space="preserve">strong economic data </w:t>
      </w:r>
      <w:r w:rsidR="00F017E2">
        <w:rPr>
          <w:color w:val="5B5D62" w:themeColor="accent6" w:themeShade="80"/>
          <w:lang w:val="en-AU"/>
        </w:rPr>
        <w:t>h</w:t>
      </w:r>
      <w:r w:rsidR="00260088">
        <w:rPr>
          <w:color w:val="5B5D62" w:themeColor="accent6" w:themeShade="80"/>
          <w:lang w:val="en-AU"/>
        </w:rPr>
        <w:t xml:space="preserve">as </w:t>
      </w:r>
      <w:r w:rsidR="00F6477F">
        <w:rPr>
          <w:color w:val="5B5D62" w:themeColor="accent6" w:themeShade="80"/>
          <w:lang w:val="en-AU"/>
        </w:rPr>
        <w:t xml:space="preserve">pushed expectations for rate cuts </w:t>
      </w:r>
      <w:r w:rsidR="008E7A39">
        <w:rPr>
          <w:color w:val="5B5D62" w:themeColor="accent6" w:themeShade="80"/>
          <w:lang w:val="en-AU"/>
        </w:rPr>
        <w:t xml:space="preserve">back </w:t>
      </w:r>
      <w:r w:rsidR="00F6477F">
        <w:rPr>
          <w:color w:val="5B5D62" w:themeColor="accent6" w:themeShade="80"/>
          <w:lang w:val="en-AU"/>
        </w:rPr>
        <w:t>towards the end of the year.</w:t>
      </w:r>
      <w:r w:rsidR="008E7A39">
        <w:rPr>
          <w:color w:val="5B5D62" w:themeColor="accent6" w:themeShade="80"/>
          <w:lang w:val="en-AU"/>
        </w:rPr>
        <w:t xml:space="preserve"> </w:t>
      </w:r>
      <w:r w:rsidR="009D4524">
        <w:rPr>
          <w:color w:val="5B5D62" w:themeColor="accent6" w:themeShade="80"/>
          <w:lang w:val="en-AU"/>
        </w:rPr>
        <w:t xml:space="preserve">The </w:t>
      </w:r>
      <w:r w:rsidR="009D4524">
        <w:rPr>
          <w:color w:val="5B5D62" w:themeColor="accent6" w:themeShade="80"/>
          <w:lang w:val="en-AU"/>
        </w:rPr>
        <w:lastRenderedPageBreak/>
        <w:t>strongest performing sector was Technology</w:t>
      </w:r>
      <w:r w:rsidR="00FF2FAC">
        <w:rPr>
          <w:color w:val="5B5D62" w:themeColor="accent6" w:themeShade="80"/>
          <w:lang w:val="en-AU"/>
        </w:rPr>
        <w:t xml:space="preserve">, returning 24.2%, as </w:t>
      </w:r>
      <w:r w:rsidR="005177D7">
        <w:rPr>
          <w:color w:val="5B5D62" w:themeColor="accent6" w:themeShade="80"/>
          <w:lang w:val="en-AU"/>
        </w:rPr>
        <w:t>fervour surrounding the A.I. boom picked up speed. Despite this mass</w:t>
      </w:r>
      <w:r w:rsidR="00661936">
        <w:rPr>
          <w:color w:val="5B5D62" w:themeColor="accent6" w:themeShade="80"/>
          <w:lang w:val="en-AU"/>
        </w:rPr>
        <w:t>ive rate of return the sector</w:t>
      </w:r>
      <w:r w:rsidR="00247A0E">
        <w:rPr>
          <w:color w:val="5B5D62" w:themeColor="accent6" w:themeShade="80"/>
          <w:lang w:val="en-AU"/>
        </w:rPr>
        <w:t>’</w:t>
      </w:r>
      <w:r w:rsidR="00661936">
        <w:rPr>
          <w:color w:val="5B5D62" w:themeColor="accent6" w:themeShade="80"/>
          <w:lang w:val="en-AU"/>
        </w:rPr>
        <w:t>s performance ha</w:t>
      </w:r>
      <w:r w:rsidR="00B95470">
        <w:rPr>
          <w:color w:val="5B5D62" w:themeColor="accent6" w:themeShade="80"/>
          <w:lang w:val="en-AU"/>
        </w:rPr>
        <w:t xml:space="preserve">d little effect on the overall </w:t>
      </w:r>
      <w:r w:rsidR="00305173">
        <w:rPr>
          <w:color w:val="5B5D62" w:themeColor="accent6" w:themeShade="80"/>
          <w:lang w:val="en-AU"/>
        </w:rPr>
        <w:t>S&amp;P/</w:t>
      </w:r>
      <w:r w:rsidR="00B95470">
        <w:rPr>
          <w:color w:val="5B5D62" w:themeColor="accent6" w:themeShade="80"/>
          <w:lang w:val="en-AU"/>
        </w:rPr>
        <w:t xml:space="preserve">ASX 200’s performance due to the Technology sector making up just </w:t>
      </w:r>
      <w:r w:rsidR="00FC0AD4">
        <w:rPr>
          <w:color w:val="5B5D62" w:themeColor="accent6" w:themeShade="80"/>
          <w:lang w:val="en-AU"/>
        </w:rPr>
        <w:t xml:space="preserve">2.86% of the </w:t>
      </w:r>
      <w:r w:rsidR="00C30F89">
        <w:rPr>
          <w:color w:val="5B5D62" w:themeColor="accent6" w:themeShade="80"/>
          <w:lang w:val="en-AU"/>
        </w:rPr>
        <w:t>index</w:t>
      </w:r>
      <w:r w:rsidR="003A3FA6">
        <w:rPr>
          <w:color w:val="5B5D62" w:themeColor="accent6" w:themeShade="80"/>
          <w:lang w:val="en-AU"/>
        </w:rPr>
        <w:t xml:space="preserve">. Real Estate also continued to perform well </w:t>
      </w:r>
      <w:r w:rsidR="00554336">
        <w:rPr>
          <w:color w:val="5B5D62" w:themeColor="accent6" w:themeShade="80"/>
          <w:lang w:val="en-AU"/>
        </w:rPr>
        <w:t xml:space="preserve">due to the expectation that we are at peak interest rates and approaching </w:t>
      </w:r>
      <w:r w:rsidR="001C14BA">
        <w:rPr>
          <w:color w:val="5B5D62" w:themeColor="accent6" w:themeShade="80"/>
          <w:lang w:val="en-AU"/>
        </w:rPr>
        <w:t xml:space="preserve">the </w:t>
      </w:r>
      <w:proofErr w:type="gramStart"/>
      <w:r w:rsidR="001C14BA">
        <w:rPr>
          <w:color w:val="5B5D62" w:themeColor="accent6" w:themeShade="80"/>
          <w:lang w:val="en-AU"/>
        </w:rPr>
        <w:t>first rate</w:t>
      </w:r>
      <w:proofErr w:type="gramEnd"/>
      <w:r w:rsidR="001C14BA">
        <w:rPr>
          <w:color w:val="5B5D62" w:themeColor="accent6" w:themeShade="80"/>
          <w:lang w:val="en-AU"/>
        </w:rPr>
        <w:t xml:space="preserve"> </w:t>
      </w:r>
      <w:r w:rsidR="00554336">
        <w:rPr>
          <w:color w:val="5B5D62" w:themeColor="accent6" w:themeShade="80"/>
          <w:lang w:val="en-AU"/>
        </w:rPr>
        <w:t>cuts.</w:t>
      </w:r>
    </w:p>
    <w:p w14:paraId="178FC8EC" w14:textId="271FEB27" w:rsidR="00EC1052" w:rsidRDefault="00BA5AC7" w:rsidP="00C53134">
      <w:pPr>
        <w:jc w:val="both"/>
        <w:rPr>
          <w:color w:val="5B5D62" w:themeColor="accent6" w:themeShade="80"/>
          <w:lang w:val="en-AU"/>
        </w:rPr>
      </w:pPr>
      <w:r>
        <w:rPr>
          <w:color w:val="5B5D62" w:themeColor="accent6" w:themeShade="80"/>
          <w:lang w:val="en-AU"/>
        </w:rPr>
        <w:t xml:space="preserve">The only sector that </w:t>
      </w:r>
      <w:r w:rsidR="007F7C80">
        <w:rPr>
          <w:color w:val="5B5D62" w:themeColor="accent6" w:themeShade="80"/>
          <w:lang w:val="en-AU"/>
        </w:rPr>
        <w:t>meaningfully retracted over the quarter was Materials (-7.8%)</w:t>
      </w:r>
      <w:r w:rsidR="00F918DE">
        <w:rPr>
          <w:color w:val="5B5D62" w:themeColor="accent6" w:themeShade="80"/>
          <w:lang w:val="en-AU"/>
        </w:rPr>
        <w:t xml:space="preserve"> which can largely be attributed to a reduction in the price of iron ore</w:t>
      </w:r>
      <w:r w:rsidR="00BA3866">
        <w:rPr>
          <w:color w:val="5B5D62" w:themeColor="accent6" w:themeShade="80"/>
          <w:lang w:val="en-AU"/>
        </w:rPr>
        <w:t xml:space="preserve">. </w:t>
      </w:r>
      <w:r w:rsidR="005356C9">
        <w:rPr>
          <w:color w:val="5B5D62" w:themeColor="accent6" w:themeShade="80"/>
          <w:lang w:val="en-AU"/>
        </w:rPr>
        <w:t xml:space="preserve">An interesting scenario has arisen around gold miners, </w:t>
      </w:r>
      <w:r w:rsidR="007E7558">
        <w:rPr>
          <w:color w:val="5B5D62" w:themeColor="accent6" w:themeShade="80"/>
          <w:lang w:val="en-AU"/>
        </w:rPr>
        <w:t xml:space="preserve">whose </w:t>
      </w:r>
      <w:r w:rsidR="00134A08">
        <w:rPr>
          <w:color w:val="5B5D62" w:themeColor="accent6" w:themeShade="80"/>
          <w:lang w:val="en-AU"/>
        </w:rPr>
        <w:t xml:space="preserve">share prices </w:t>
      </w:r>
      <w:r w:rsidR="006126BD">
        <w:rPr>
          <w:color w:val="5B5D62" w:themeColor="accent6" w:themeShade="80"/>
          <w:lang w:val="en-AU"/>
        </w:rPr>
        <w:t>have failed to keep up with the rise in the price of gold itself.</w:t>
      </w:r>
      <w:r w:rsidR="00571D3C">
        <w:rPr>
          <w:color w:val="5B5D62" w:themeColor="accent6" w:themeShade="80"/>
          <w:lang w:val="en-AU"/>
        </w:rPr>
        <w:t xml:space="preserve"> This divergence</w:t>
      </w:r>
      <w:r w:rsidR="000B3D0B" w:rsidDel="00EC66CC">
        <w:rPr>
          <w:color w:val="5B5D62" w:themeColor="accent6" w:themeShade="80"/>
          <w:lang w:val="en-AU"/>
        </w:rPr>
        <w:t xml:space="preserve"> </w:t>
      </w:r>
      <w:r w:rsidR="000B3D0B">
        <w:rPr>
          <w:color w:val="5B5D62" w:themeColor="accent6" w:themeShade="80"/>
          <w:lang w:val="en-AU"/>
        </w:rPr>
        <w:t xml:space="preserve">likely stems from </w:t>
      </w:r>
      <w:r w:rsidR="007C406A">
        <w:rPr>
          <w:color w:val="5B5D62" w:themeColor="accent6" w:themeShade="80"/>
          <w:lang w:val="en-AU"/>
        </w:rPr>
        <w:t xml:space="preserve">an increase in </w:t>
      </w:r>
      <w:r w:rsidR="009D3270">
        <w:rPr>
          <w:color w:val="5B5D62" w:themeColor="accent6" w:themeShade="80"/>
          <w:lang w:val="en-AU"/>
        </w:rPr>
        <w:t>production cost</w:t>
      </w:r>
      <w:r w:rsidR="00EC66CC">
        <w:rPr>
          <w:color w:val="5B5D62" w:themeColor="accent6" w:themeShade="80"/>
          <w:lang w:val="en-AU"/>
        </w:rPr>
        <w:t>s</w:t>
      </w:r>
      <w:r w:rsidR="009D3270">
        <w:rPr>
          <w:color w:val="5B5D62" w:themeColor="accent6" w:themeShade="80"/>
          <w:lang w:val="en-AU"/>
        </w:rPr>
        <w:t xml:space="preserve"> </w:t>
      </w:r>
      <w:r w:rsidR="000608DE">
        <w:rPr>
          <w:color w:val="5B5D62" w:themeColor="accent6" w:themeShade="80"/>
          <w:lang w:val="en-AU"/>
        </w:rPr>
        <w:t>due to higher labour costs.</w:t>
      </w:r>
      <w:r w:rsidR="00104E05">
        <w:rPr>
          <w:color w:val="5B5D62" w:themeColor="accent6" w:themeShade="80"/>
          <w:lang w:val="en-AU"/>
        </w:rPr>
        <w:t xml:space="preserve"> </w:t>
      </w:r>
    </w:p>
    <w:p w14:paraId="0789EB31" w14:textId="1536EA50" w:rsidR="00573373" w:rsidRDefault="00320AB5" w:rsidP="003725D5">
      <w:pPr>
        <w:pStyle w:val="Heading1"/>
        <w:jc w:val="both"/>
        <w:rPr>
          <w:lang w:val="en-AU"/>
        </w:rPr>
      </w:pPr>
      <w:r w:rsidRPr="00DE4A0E">
        <w:rPr>
          <w:lang w:val="en-AU"/>
        </w:rPr>
        <w:t xml:space="preserve">Foreign Exchange Markets </w:t>
      </w:r>
    </w:p>
    <w:p w14:paraId="306ECEB0" w14:textId="6571B283" w:rsidR="00060FDF" w:rsidRDefault="00A37453" w:rsidP="003725D5">
      <w:pPr>
        <w:jc w:val="both"/>
        <w:rPr>
          <w:color w:val="5B5D62" w:themeColor="accent6" w:themeShade="80"/>
          <w:lang w:val="en-AU"/>
        </w:rPr>
      </w:pPr>
      <w:r>
        <w:rPr>
          <w:color w:val="5B5D62" w:themeColor="accent6" w:themeShade="80"/>
          <w:lang w:val="en-AU"/>
        </w:rPr>
        <w:t xml:space="preserve">In contrast to the last quarter of 2023 the USD dollar index (DXY) against a basket of currencies strengthened by 3.2% over the first quarter of 2024. </w:t>
      </w:r>
      <w:r w:rsidR="00AA0EC0">
        <w:rPr>
          <w:color w:val="5B5D62" w:themeColor="accent6" w:themeShade="80"/>
          <w:lang w:val="en-AU"/>
        </w:rPr>
        <w:t xml:space="preserve">This occurring due to </w:t>
      </w:r>
      <w:r w:rsidR="00E179F9">
        <w:rPr>
          <w:color w:val="5B5D62" w:themeColor="accent6" w:themeShade="80"/>
          <w:lang w:val="en-AU"/>
        </w:rPr>
        <w:t xml:space="preserve">strong economic data out of the US </w:t>
      </w:r>
      <w:r w:rsidR="00B32FE2">
        <w:rPr>
          <w:color w:val="5B5D62" w:themeColor="accent6" w:themeShade="80"/>
          <w:lang w:val="en-AU"/>
        </w:rPr>
        <w:t xml:space="preserve">and comments from the Federal Reserve </w:t>
      </w:r>
      <w:r w:rsidR="00667421">
        <w:rPr>
          <w:color w:val="5B5D62" w:themeColor="accent6" w:themeShade="80"/>
          <w:lang w:val="en-AU"/>
        </w:rPr>
        <w:t>leading inv</w:t>
      </w:r>
      <w:r w:rsidR="003D571A">
        <w:rPr>
          <w:color w:val="5B5D62" w:themeColor="accent6" w:themeShade="80"/>
          <w:lang w:val="en-AU"/>
        </w:rPr>
        <w:t xml:space="preserve">estors to </w:t>
      </w:r>
      <w:r w:rsidR="00611821">
        <w:rPr>
          <w:color w:val="5B5D62" w:themeColor="accent6" w:themeShade="80"/>
          <w:lang w:val="en-AU"/>
        </w:rPr>
        <w:t>push back their expectations of rate cuts in the first half of 2024.</w:t>
      </w:r>
      <w:r w:rsidR="00D11BB2">
        <w:rPr>
          <w:color w:val="5B5D62" w:themeColor="accent6" w:themeShade="80"/>
          <w:lang w:val="en-AU"/>
        </w:rPr>
        <w:t xml:space="preserve"> </w:t>
      </w:r>
      <w:r w:rsidR="001B36D4">
        <w:rPr>
          <w:color w:val="5B5D62" w:themeColor="accent6" w:themeShade="80"/>
          <w:lang w:val="en-AU"/>
        </w:rPr>
        <w:t xml:space="preserve">As </w:t>
      </w:r>
      <w:r w:rsidR="00D16C04">
        <w:rPr>
          <w:color w:val="5B5D62" w:themeColor="accent6" w:themeShade="80"/>
          <w:lang w:val="en-AU"/>
        </w:rPr>
        <w:t xml:space="preserve">rate cuts </w:t>
      </w:r>
      <w:r w:rsidR="00BE3C53">
        <w:rPr>
          <w:color w:val="5B5D62" w:themeColor="accent6" w:themeShade="80"/>
          <w:lang w:val="en-AU"/>
        </w:rPr>
        <w:t>are expected</w:t>
      </w:r>
      <w:r w:rsidR="007A2273">
        <w:rPr>
          <w:color w:val="5B5D62" w:themeColor="accent6" w:themeShade="80"/>
          <w:lang w:val="en-AU"/>
        </w:rPr>
        <w:t xml:space="preserve"> later</w:t>
      </w:r>
      <w:r w:rsidR="00D11BB2">
        <w:rPr>
          <w:color w:val="5B5D62" w:themeColor="accent6" w:themeShade="80"/>
          <w:lang w:val="en-AU"/>
        </w:rPr>
        <w:t>,</w:t>
      </w:r>
      <w:r w:rsidR="00BE3C53">
        <w:rPr>
          <w:color w:val="5B5D62" w:themeColor="accent6" w:themeShade="80"/>
          <w:lang w:val="en-AU"/>
        </w:rPr>
        <w:t xml:space="preserve"> </w:t>
      </w:r>
      <w:r w:rsidR="00D16C04">
        <w:rPr>
          <w:color w:val="5B5D62" w:themeColor="accent6" w:themeShade="80"/>
          <w:lang w:val="en-AU"/>
        </w:rPr>
        <w:t>bond yield</w:t>
      </w:r>
      <w:r w:rsidR="00BE3C53">
        <w:rPr>
          <w:color w:val="5B5D62" w:themeColor="accent6" w:themeShade="80"/>
          <w:lang w:val="en-AU"/>
        </w:rPr>
        <w:t>s</w:t>
      </w:r>
      <w:r w:rsidR="00D16C04">
        <w:rPr>
          <w:color w:val="5B5D62" w:themeColor="accent6" w:themeShade="80"/>
          <w:lang w:val="en-AU"/>
        </w:rPr>
        <w:t xml:space="preserve"> remain elevated</w:t>
      </w:r>
      <w:r w:rsidR="00AB6A00">
        <w:rPr>
          <w:color w:val="5B5D62" w:themeColor="accent6" w:themeShade="80"/>
          <w:lang w:val="en-AU"/>
        </w:rPr>
        <w:t xml:space="preserve">, </w:t>
      </w:r>
      <w:r w:rsidR="006102D1">
        <w:rPr>
          <w:color w:val="5B5D62" w:themeColor="accent6" w:themeShade="80"/>
          <w:lang w:val="en-AU"/>
        </w:rPr>
        <w:t xml:space="preserve">attracting </w:t>
      </w:r>
      <w:r w:rsidR="00BE3C53">
        <w:rPr>
          <w:color w:val="5B5D62" w:themeColor="accent6" w:themeShade="80"/>
          <w:lang w:val="en-AU"/>
        </w:rPr>
        <w:t xml:space="preserve">investors to the USD and </w:t>
      </w:r>
      <w:r w:rsidR="00D11BB2">
        <w:rPr>
          <w:color w:val="5B5D62" w:themeColor="accent6" w:themeShade="80"/>
          <w:lang w:val="en-AU"/>
        </w:rPr>
        <w:t>increasing its relative value.</w:t>
      </w:r>
      <w:r w:rsidR="001643FF">
        <w:rPr>
          <w:color w:val="5B5D62" w:themeColor="accent6" w:themeShade="80"/>
          <w:lang w:val="en-AU"/>
        </w:rPr>
        <w:t xml:space="preserve"> This has led to a depreciation of the Australian dollar against the USD of 4.4%</w:t>
      </w:r>
      <w:r w:rsidR="002F46AA">
        <w:rPr>
          <w:color w:val="5B5D62" w:themeColor="accent6" w:themeShade="80"/>
          <w:lang w:val="en-AU"/>
        </w:rPr>
        <w:t xml:space="preserve"> </w:t>
      </w:r>
      <w:r w:rsidR="006E6410">
        <w:rPr>
          <w:color w:val="5B5D62" w:themeColor="accent6" w:themeShade="80"/>
          <w:lang w:val="en-AU"/>
        </w:rPr>
        <w:t>from 0.68 to 0.65.</w:t>
      </w:r>
    </w:p>
    <w:p w14:paraId="51244068" w14:textId="6DC8E2AB" w:rsidR="00060FDF" w:rsidRDefault="00D11BB2" w:rsidP="003725D5">
      <w:pPr>
        <w:jc w:val="both"/>
        <w:rPr>
          <w:color w:val="5B5D62" w:themeColor="accent6" w:themeShade="80"/>
          <w:lang w:val="en-AU"/>
        </w:rPr>
      </w:pPr>
      <w:r w:rsidRPr="00B86CE7">
        <w:rPr>
          <w:noProof/>
        </w:rPr>
        <w:drawing>
          <wp:inline distT="0" distB="0" distL="0" distR="0" wp14:anchorId="4EAC9B14" wp14:editId="50C9A0FE">
            <wp:extent cx="2907030" cy="2180590"/>
            <wp:effectExtent l="0" t="0" r="7620" b="0"/>
            <wp:docPr id="172342453" name="Picture 1" descr="A graph of currenc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2453" name="Picture 1" descr="A graph of currencies&#10;&#10;Description automatically generated"/>
                    <pic:cNvPicPr/>
                  </pic:nvPicPr>
                  <pic:blipFill>
                    <a:blip r:embed="rId16"/>
                    <a:stretch>
                      <a:fillRect/>
                    </a:stretch>
                  </pic:blipFill>
                  <pic:spPr>
                    <a:xfrm>
                      <a:off x="0" y="0"/>
                      <a:ext cx="2907030" cy="2180590"/>
                    </a:xfrm>
                    <a:prstGeom prst="rect">
                      <a:avLst/>
                    </a:prstGeom>
                  </pic:spPr>
                </pic:pic>
              </a:graphicData>
            </a:graphic>
          </wp:inline>
        </w:drawing>
      </w:r>
    </w:p>
    <w:p w14:paraId="4416250C" w14:textId="357F2DC2" w:rsidR="00060FDF" w:rsidRDefault="00E3003D" w:rsidP="003725D5">
      <w:pPr>
        <w:jc w:val="both"/>
        <w:rPr>
          <w:color w:val="5B5D62" w:themeColor="accent6" w:themeShade="80"/>
          <w:lang w:val="en-AU"/>
        </w:rPr>
      </w:pPr>
      <w:r>
        <w:rPr>
          <w:color w:val="5B5D62" w:themeColor="accent6" w:themeShade="80"/>
          <w:lang w:val="en-AU"/>
        </w:rPr>
        <w:t>The currency that depreciated the most against the USD was the Japanese Yen (JPY)</w:t>
      </w:r>
      <w:r w:rsidR="00680E7B">
        <w:rPr>
          <w:color w:val="5B5D62" w:themeColor="accent6" w:themeShade="80"/>
          <w:lang w:val="en-AU"/>
        </w:rPr>
        <w:t>, depreciating by 6.9</w:t>
      </w:r>
      <w:r w:rsidR="00680E7B" w:rsidRPr="003B4FF4">
        <w:rPr>
          <w:rFonts w:ascii="Arial" w:hAnsi="Arial" w:cs="Arial"/>
          <w:color w:val="5B5D62"/>
          <w:szCs w:val="20"/>
        </w:rPr>
        <w:t>%</w:t>
      </w:r>
      <w:r w:rsidR="00844800" w:rsidRPr="003B4FF4">
        <w:rPr>
          <w:rFonts w:ascii="Arial" w:hAnsi="Arial" w:cs="Arial"/>
          <w:color w:val="5B5D62"/>
          <w:szCs w:val="20"/>
        </w:rPr>
        <w:t xml:space="preserve">. </w:t>
      </w:r>
      <w:r w:rsidR="000E4FC4" w:rsidRPr="003B4FF4">
        <w:rPr>
          <w:rFonts w:ascii="Arial" w:hAnsi="Arial" w:cs="Arial"/>
          <w:color w:val="5B5D62"/>
          <w:szCs w:val="20"/>
        </w:rPr>
        <w:t>A prolonged period of negative interest rates in Japan</w:t>
      </w:r>
      <w:r w:rsidR="000E4FC4">
        <w:rPr>
          <w:rFonts w:ascii="Arial" w:hAnsi="Arial" w:cs="Arial"/>
          <w:color w:val="5B5D62"/>
          <w:szCs w:val="20"/>
        </w:rPr>
        <w:t xml:space="preserve"> has had the effect of reducing the currency’s desirability amongst traders in our current environment of high interest rates in most developed countries. In Q4 the Bank of Japan finally acted and increased interest rates for the first time in 17 years from -0.1% to 0-0.1% </w:t>
      </w:r>
      <w:proofErr w:type="gramStart"/>
      <w:r w:rsidR="000E4FC4">
        <w:rPr>
          <w:rFonts w:ascii="Arial" w:hAnsi="Arial" w:cs="Arial"/>
          <w:color w:val="5B5D62"/>
          <w:szCs w:val="20"/>
        </w:rPr>
        <w:t>in an attempt to</w:t>
      </w:r>
      <w:proofErr w:type="gramEnd"/>
      <w:r w:rsidR="000E4FC4">
        <w:rPr>
          <w:rFonts w:ascii="Arial" w:hAnsi="Arial" w:cs="Arial"/>
          <w:color w:val="5B5D62"/>
          <w:szCs w:val="20"/>
        </w:rPr>
        <w:t xml:space="preserve"> stimulate the economy. </w:t>
      </w:r>
    </w:p>
    <w:p w14:paraId="23806F5D" w14:textId="5C6D3492" w:rsidR="003D24DF" w:rsidRDefault="00660B53" w:rsidP="003725D5">
      <w:pPr>
        <w:pStyle w:val="Heading1"/>
        <w:jc w:val="both"/>
        <w:rPr>
          <w:lang w:val="en-AU"/>
        </w:rPr>
      </w:pPr>
      <w:r w:rsidRPr="00DE4A0E">
        <w:rPr>
          <w:lang w:val="en-AU"/>
        </w:rPr>
        <w:t xml:space="preserve">Fixed Income Markets </w:t>
      </w:r>
    </w:p>
    <w:p w14:paraId="24BCEA06" w14:textId="7ACBF010" w:rsidR="004D6CB9" w:rsidRDefault="00B86CE7" w:rsidP="004D6CB9">
      <w:pPr>
        <w:jc w:val="both"/>
        <w:rPr>
          <w:color w:val="5B5D62" w:themeColor="accent6" w:themeShade="80"/>
          <w:lang w:val="en-AU"/>
        </w:rPr>
      </w:pPr>
      <w:r w:rsidRPr="00B86CE7">
        <w:rPr>
          <w:noProof/>
        </w:rPr>
        <w:drawing>
          <wp:inline distT="0" distB="0" distL="0" distR="0" wp14:anchorId="7CC5A260" wp14:editId="68E269A0">
            <wp:extent cx="2933700" cy="2191624"/>
            <wp:effectExtent l="0" t="0" r="0" b="0"/>
            <wp:docPr id="1837504208" name="Picture 1" descr="A graph of blue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04208" name="Picture 1" descr="A graph of blue lines and numbers&#10;&#10;Description automatically generated"/>
                    <pic:cNvPicPr/>
                  </pic:nvPicPr>
                  <pic:blipFill>
                    <a:blip r:embed="rId17"/>
                    <a:stretch>
                      <a:fillRect/>
                    </a:stretch>
                  </pic:blipFill>
                  <pic:spPr>
                    <a:xfrm>
                      <a:off x="0" y="0"/>
                      <a:ext cx="2939250" cy="2195770"/>
                    </a:xfrm>
                    <a:prstGeom prst="rect">
                      <a:avLst/>
                    </a:prstGeom>
                  </pic:spPr>
                </pic:pic>
              </a:graphicData>
            </a:graphic>
          </wp:inline>
        </w:drawing>
      </w:r>
    </w:p>
    <w:p w14:paraId="5B8ACA1C" w14:textId="6D7C71E5" w:rsidR="00F370DC" w:rsidRDefault="00796DE2" w:rsidP="004D6CB9">
      <w:pPr>
        <w:jc w:val="both"/>
        <w:rPr>
          <w:color w:val="5B5D62" w:themeColor="accent6" w:themeShade="80"/>
          <w:lang w:val="en-AU"/>
        </w:rPr>
      </w:pPr>
      <w:r>
        <w:rPr>
          <w:color w:val="5B5D62" w:themeColor="accent6" w:themeShade="80"/>
          <w:lang w:val="en-AU"/>
        </w:rPr>
        <w:t xml:space="preserve">It was a </w:t>
      </w:r>
      <w:r w:rsidR="004A3AA5">
        <w:rPr>
          <w:color w:val="5B5D62" w:themeColor="accent6" w:themeShade="80"/>
          <w:lang w:val="en-AU"/>
        </w:rPr>
        <w:t>volatile</w:t>
      </w:r>
      <w:r>
        <w:rPr>
          <w:color w:val="5B5D62" w:themeColor="accent6" w:themeShade="80"/>
          <w:lang w:val="en-AU"/>
        </w:rPr>
        <w:t xml:space="preserve"> quarter for </w:t>
      </w:r>
      <w:r w:rsidR="00656326">
        <w:rPr>
          <w:color w:val="5B5D62" w:themeColor="accent6" w:themeShade="80"/>
          <w:lang w:val="en-AU"/>
        </w:rPr>
        <w:t xml:space="preserve">fixed income as </w:t>
      </w:r>
      <w:r w:rsidR="0017509D">
        <w:rPr>
          <w:color w:val="5B5D62" w:themeColor="accent6" w:themeShade="80"/>
          <w:lang w:val="en-AU"/>
        </w:rPr>
        <w:t xml:space="preserve">strong economic data and </w:t>
      </w:r>
      <w:r w:rsidR="00505DAC">
        <w:rPr>
          <w:color w:val="5B5D62" w:themeColor="accent6" w:themeShade="80"/>
          <w:lang w:val="en-AU"/>
        </w:rPr>
        <w:t>central bank comments</w:t>
      </w:r>
      <w:r w:rsidR="000A40B7">
        <w:rPr>
          <w:color w:val="5B5D62" w:themeColor="accent6" w:themeShade="80"/>
          <w:lang w:val="en-AU"/>
        </w:rPr>
        <w:t xml:space="preserve"> fought </w:t>
      </w:r>
      <w:r w:rsidR="000B68B9">
        <w:rPr>
          <w:color w:val="5B5D62" w:themeColor="accent6" w:themeShade="80"/>
          <w:lang w:val="en-AU"/>
        </w:rPr>
        <w:t>investor expectations for rate cut</w:t>
      </w:r>
      <w:r w:rsidR="00B86FD9">
        <w:rPr>
          <w:color w:val="5B5D62" w:themeColor="accent6" w:themeShade="80"/>
          <w:lang w:val="en-AU"/>
        </w:rPr>
        <w:t>s,</w:t>
      </w:r>
      <w:r w:rsidR="000B68B9">
        <w:rPr>
          <w:color w:val="5B5D62" w:themeColor="accent6" w:themeShade="80"/>
          <w:lang w:val="en-AU"/>
        </w:rPr>
        <w:t xml:space="preserve"> </w:t>
      </w:r>
      <w:r w:rsidR="000D1C60">
        <w:rPr>
          <w:color w:val="5B5D62" w:themeColor="accent6" w:themeShade="80"/>
          <w:lang w:val="en-AU"/>
        </w:rPr>
        <w:t xml:space="preserve">but </w:t>
      </w:r>
      <w:r w:rsidR="00C37BCA">
        <w:rPr>
          <w:color w:val="5B5D62" w:themeColor="accent6" w:themeShade="80"/>
          <w:lang w:val="en-AU"/>
        </w:rPr>
        <w:t xml:space="preserve">in the end </w:t>
      </w:r>
      <w:r w:rsidR="00F93AE8">
        <w:rPr>
          <w:color w:val="5B5D62" w:themeColor="accent6" w:themeShade="80"/>
          <w:lang w:val="en-AU"/>
        </w:rPr>
        <w:t>Australian bonds ended u</w:t>
      </w:r>
      <w:r w:rsidR="00596A63">
        <w:rPr>
          <w:color w:val="5B5D62" w:themeColor="accent6" w:themeShade="80"/>
          <w:lang w:val="en-AU"/>
        </w:rPr>
        <w:t xml:space="preserve">p by just </w:t>
      </w:r>
      <w:r w:rsidR="007E3E82">
        <w:rPr>
          <w:color w:val="5B5D62" w:themeColor="accent6" w:themeShade="80"/>
          <w:lang w:val="en-AU"/>
        </w:rPr>
        <w:t xml:space="preserve">0.57% while </w:t>
      </w:r>
      <w:r w:rsidR="001F242D">
        <w:rPr>
          <w:color w:val="5B5D62" w:themeColor="accent6" w:themeShade="80"/>
          <w:lang w:val="en-AU"/>
        </w:rPr>
        <w:t>g</w:t>
      </w:r>
      <w:r w:rsidR="007E3E82">
        <w:rPr>
          <w:color w:val="5B5D62" w:themeColor="accent6" w:themeShade="80"/>
          <w:lang w:val="en-AU"/>
        </w:rPr>
        <w:t xml:space="preserve">lobal bonds ended down by </w:t>
      </w:r>
      <w:r w:rsidR="002A51C7">
        <w:rPr>
          <w:color w:val="5B5D62" w:themeColor="accent6" w:themeShade="80"/>
          <w:lang w:val="en-AU"/>
        </w:rPr>
        <w:t>1.16%.</w:t>
      </w:r>
      <w:r w:rsidR="00015002">
        <w:rPr>
          <w:color w:val="5B5D62" w:themeColor="accent6" w:themeShade="80"/>
          <w:lang w:val="en-AU"/>
        </w:rPr>
        <w:t xml:space="preserve"> Australian bonds gained over the quarter due to </w:t>
      </w:r>
      <w:r w:rsidR="00173BCD">
        <w:rPr>
          <w:color w:val="5B5D62" w:themeColor="accent6" w:themeShade="80"/>
          <w:lang w:val="en-AU"/>
        </w:rPr>
        <w:t xml:space="preserve">the </w:t>
      </w:r>
      <w:r w:rsidR="00F253A3">
        <w:rPr>
          <w:color w:val="5B5D62" w:themeColor="accent6" w:themeShade="80"/>
          <w:lang w:val="en-AU"/>
        </w:rPr>
        <w:t>belief that c</w:t>
      </w:r>
      <w:r w:rsidR="00F37D37">
        <w:rPr>
          <w:color w:val="5B5D62" w:themeColor="accent6" w:themeShade="80"/>
          <w:lang w:val="en-AU"/>
        </w:rPr>
        <w:t xml:space="preserve">entral bank rates have reached their </w:t>
      </w:r>
      <w:r w:rsidR="00946FD8">
        <w:rPr>
          <w:color w:val="5B5D62" w:themeColor="accent6" w:themeShade="80"/>
          <w:lang w:val="en-AU"/>
        </w:rPr>
        <w:t>peak,</w:t>
      </w:r>
      <w:r w:rsidR="00F37D37">
        <w:rPr>
          <w:color w:val="5B5D62" w:themeColor="accent6" w:themeShade="80"/>
          <w:lang w:val="en-AU"/>
        </w:rPr>
        <w:t xml:space="preserve"> and </w:t>
      </w:r>
      <w:r w:rsidR="004D55FB">
        <w:rPr>
          <w:color w:val="5B5D62" w:themeColor="accent6" w:themeShade="80"/>
          <w:lang w:val="en-AU"/>
        </w:rPr>
        <w:t xml:space="preserve">that the RBA is simply waiting on </w:t>
      </w:r>
      <w:r w:rsidR="002009AC">
        <w:rPr>
          <w:color w:val="5B5D62" w:themeColor="accent6" w:themeShade="80"/>
          <w:lang w:val="en-AU"/>
        </w:rPr>
        <w:t>the data to refle</w:t>
      </w:r>
      <w:r w:rsidR="00671A32">
        <w:rPr>
          <w:color w:val="5B5D62" w:themeColor="accent6" w:themeShade="80"/>
          <w:lang w:val="en-AU"/>
        </w:rPr>
        <w:t xml:space="preserve">ct </w:t>
      </w:r>
      <w:r w:rsidR="00C4000F">
        <w:rPr>
          <w:color w:val="5B5D62" w:themeColor="accent6" w:themeShade="80"/>
          <w:lang w:val="en-AU"/>
        </w:rPr>
        <w:t xml:space="preserve">inflation </w:t>
      </w:r>
      <w:r w:rsidR="00671A32">
        <w:rPr>
          <w:color w:val="5B5D62" w:themeColor="accent6" w:themeShade="80"/>
          <w:lang w:val="en-AU"/>
        </w:rPr>
        <w:t xml:space="preserve">returning </w:t>
      </w:r>
      <w:r w:rsidR="00C4000F">
        <w:rPr>
          <w:color w:val="5B5D62" w:themeColor="accent6" w:themeShade="80"/>
          <w:lang w:val="en-AU"/>
        </w:rPr>
        <w:t>to the 2-3% target band</w:t>
      </w:r>
      <w:r w:rsidR="00BF5891">
        <w:rPr>
          <w:color w:val="5B5D62" w:themeColor="accent6" w:themeShade="80"/>
          <w:lang w:val="en-AU"/>
        </w:rPr>
        <w:t xml:space="preserve"> before they begin to cut rates</w:t>
      </w:r>
      <w:r w:rsidR="00C4000F">
        <w:rPr>
          <w:color w:val="5B5D62" w:themeColor="accent6" w:themeShade="80"/>
          <w:lang w:val="en-AU"/>
        </w:rPr>
        <w:t>.</w:t>
      </w:r>
      <w:r w:rsidR="000D6EFE">
        <w:rPr>
          <w:color w:val="5B5D62" w:themeColor="accent6" w:themeShade="80"/>
          <w:lang w:val="en-AU"/>
        </w:rPr>
        <w:t xml:space="preserve"> </w:t>
      </w:r>
      <w:r w:rsidR="0008462E">
        <w:rPr>
          <w:color w:val="5B5D62" w:themeColor="accent6" w:themeShade="80"/>
          <w:lang w:val="en-AU"/>
        </w:rPr>
        <w:t xml:space="preserve">The US reached the same </w:t>
      </w:r>
      <w:r w:rsidR="00480DD7">
        <w:rPr>
          <w:color w:val="5B5D62" w:themeColor="accent6" w:themeShade="80"/>
          <w:lang w:val="en-AU"/>
        </w:rPr>
        <w:t xml:space="preserve">position </w:t>
      </w:r>
      <w:r w:rsidR="00041F53">
        <w:rPr>
          <w:color w:val="5B5D62" w:themeColor="accent6" w:themeShade="80"/>
          <w:lang w:val="en-AU"/>
        </w:rPr>
        <w:t xml:space="preserve">late last </w:t>
      </w:r>
      <w:r w:rsidR="00AB4B02">
        <w:rPr>
          <w:color w:val="5B5D62" w:themeColor="accent6" w:themeShade="80"/>
          <w:lang w:val="en-AU"/>
        </w:rPr>
        <w:t>year,</w:t>
      </w:r>
      <w:r w:rsidR="00041F53">
        <w:rPr>
          <w:color w:val="5B5D62" w:themeColor="accent6" w:themeShade="80"/>
          <w:lang w:val="en-AU"/>
        </w:rPr>
        <w:t xml:space="preserve"> but </w:t>
      </w:r>
      <w:r w:rsidR="00F61257">
        <w:rPr>
          <w:color w:val="5B5D62" w:themeColor="accent6" w:themeShade="80"/>
          <w:lang w:val="en-AU"/>
        </w:rPr>
        <w:t xml:space="preserve">the data has continued to suggest that inflation is not yet under control, </w:t>
      </w:r>
      <w:r w:rsidR="00D2143A">
        <w:rPr>
          <w:color w:val="5B5D62" w:themeColor="accent6" w:themeShade="80"/>
          <w:lang w:val="en-AU"/>
        </w:rPr>
        <w:t>meaning rates must remain elevated, leading to a decline in the price of bonds.</w:t>
      </w:r>
    </w:p>
    <w:p w14:paraId="789EEB7D" w14:textId="447A49AF" w:rsidR="004D6CB9" w:rsidRPr="004D6CB9" w:rsidRDefault="006E5FFB" w:rsidP="004D6CB9">
      <w:pPr>
        <w:jc w:val="both"/>
        <w:rPr>
          <w:color w:val="5B5D62" w:themeColor="accent6" w:themeShade="80"/>
          <w:lang w:val="en-AU"/>
        </w:rPr>
      </w:pPr>
      <w:r w:rsidRPr="006E5FFB">
        <w:rPr>
          <w:noProof/>
        </w:rPr>
        <w:lastRenderedPageBreak/>
        <w:drawing>
          <wp:inline distT="0" distB="0" distL="0" distR="0" wp14:anchorId="22699B56" wp14:editId="7A847924">
            <wp:extent cx="2941320" cy="2136922"/>
            <wp:effectExtent l="0" t="0" r="0" b="0"/>
            <wp:docPr id="774408079" name="Picture 1" descr="A graph of blue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08079" name="Picture 1" descr="A graph of blue and red lines&#10;&#10;Description automatically generated"/>
                    <pic:cNvPicPr/>
                  </pic:nvPicPr>
                  <pic:blipFill>
                    <a:blip r:embed="rId18"/>
                    <a:stretch>
                      <a:fillRect/>
                    </a:stretch>
                  </pic:blipFill>
                  <pic:spPr>
                    <a:xfrm>
                      <a:off x="0" y="0"/>
                      <a:ext cx="2952463" cy="2145018"/>
                    </a:xfrm>
                    <a:prstGeom prst="rect">
                      <a:avLst/>
                    </a:prstGeom>
                  </pic:spPr>
                </pic:pic>
              </a:graphicData>
            </a:graphic>
          </wp:inline>
        </w:drawing>
      </w:r>
    </w:p>
    <w:p w14:paraId="2BBBF3ED" w14:textId="4AD926F7" w:rsidR="008A44D5" w:rsidRDefault="00074FEC" w:rsidP="003725D5">
      <w:pPr>
        <w:jc w:val="both"/>
        <w:rPr>
          <w:color w:val="5B5D62" w:themeColor="accent6" w:themeShade="80"/>
          <w:lang w:val="en-AU"/>
        </w:rPr>
      </w:pPr>
      <w:r>
        <w:rPr>
          <w:color w:val="5B5D62" w:themeColor="accent6" w:themeShade="80"/>
          <w:lang w:val="en-AU"/>
        </w:rPr>
        <w:t xml:space="preserve">The US </w:t>
      </w:r>
      <w:r w:rsidR="001A1E17">
        <w:rPr>
          <w:color w:val="5B5D62" w:themeColor="accent6" w:themeShade="80"/>
          <w:lang w:val="en-AU"/>
        </w:rPr>
        <w:t xml:space="preserve">continues to have a yield curve inversion, the longest by far in the last 40 years. </w:t>
      </w:r>
      <w:r w:rsidR="003A5635">
        <w:rPr>
          <w:color w:val="5B5D62" w:themeColor="accent6" w:themeShade="80"/>
          <w:lang w:val="en-AU"/>
        </w:rPr>
        <w:t xml:space="preserve">The inversion which was previously shrinking has slightly expanded again as </w:t>
      </w:r>
      <w:r w:rsidR="001641AB">
        <w:rPr>
          <w:color w:val="5B5D62" w:themeColor="accent6" w:themeShade="80"/>
          <w:lang w:val="en-AU"/>
        </w:rPr>
        <w:t xml:space="preserve">the </w:t>
      </w:r>
      <w:r w:rsidR="002435F7">
        <w:rPr>
          <w:color w:val="5B5D62" w:themeColor="accent6" w:themeShade="80"/>
          <w:lang w:val="en-AU"/>
        </w:rPr>
        <w:t>expected date of the first Federal Reserve rate cut continues to be dela</w:t>
      </w:r>
      <w:r w:rsidR="00B77326">
        <w:rPr>
          <w:color w:val="5B5D62" w:themeColor="accent6" w:themeShade="80"/>
          <w:lang w:val="en-AU"/>
        </w:rPr>
        <w:t>yed.</w:t>
      </w:r>
      <w:bookmarkStart w:id="4" w:name="_Toc34924317"/>
      <w:bookmarkEnd w:id="1"/>
      <w:r w:rsidR="009B47A7">
        <w:rPr>
          <w:color w:val="5B5D62" w:themeColor="accent6" w:themeShade="80"/>
          <w:lang w:val="en-AU"/>
        </w:rPr>
        <w:t xml:space="preserve"> A yield curve inversion is a common recession indicator in the US with every inversion in the past forty years being followed by a recession. </w:t>
      </w:r>
      <w:r w:rsidR="008A44D5">
        <w:rPr>
          <w:color w:val="5B5D62" w:themeColor="accent6" w:themeShade="80"/>
          <w:lang w:val="en-AU"/>
        </w:rPr>
        <w:t>With the latest inversion being longer than most that came before investors are waiting to see whether the indicator remains true.</w:t>
      </w:r>
      <w:r w:rsidR="0089164E">
        <w:rPr>
          <w:color w:val="5B5D62" w:themeColor="accent6" w:themeShade="80"/>
          <w:lang w:val="en-AU"/>
        </w:rPr>
        <w:t xml:space="preserve"> </w:t>
      </w:r>
    </w:p>
    <w:p w14:paraId="14AA7CC3" w14:textId="79D64257" w:rsidR="009E35F7" w:rsidRDefault="006E5FFB" w:rsidP="003725D5">
      <w:pPr>
        <w:jc w:val="both"/>
        <w:rPr>
          <w:color w:val="5B5D62" w:themeColor="accent6" w:themeShade="80"/>
          <w:lang w:val="en-AU"/>
        </w:rPr>
      </w:pPr>
      <w:r w:rsidRPr="006E5FFB">
        <w:rPr>
          <w:noProof/>
        </w:rPr>
        <w:drawing>
          <wp:inline distT="0" distB="0" distL="0" distR="0" wp14:anchorId="4D053FB2" wp14:editId="0047AD31">
            <wp:extent cx="2910840" cy="2114777"/>
            <wp:effectExtent l="0" t="0" r="3810" b="0"/>
            <wp:docPr id="965012015" name="Picture 1" descr="A graph of a graph showing the value of a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12015" name="Picture 1" descr="A graph of a graph showing the value of a stock market&#10;&#10;Description automatically generated"/>
                    <pic:cNvPicPr/>
                  </pic:nvPicPr>
                  <pic:blipFill>
                    <a:blip r:embed="rId19"/>
                    <a:stretch>
                      <a:fillRect/>
                    </a:stretch>
                  </pic:blipFill>
                  <pic:spPr>
                    <a:xfrm>
                      <a:off x="0" y="0"/>
                      <a:ext cx="2967401" cy="2155869"/>
                    </a:xfrm>
                    <a:prstGeom prst="rect">
                      <a:avLst/>
                    </a:prstGeom>
                  </pic:spPr>
                </pic:pic>
              </a:graphicData>
            </a:graphic>
          </wp:inline>
        </w:drawing>
      </w:r>
    </w:p>
    <w:p w14:paraId="2C5D3FE2" w14:textId="3B32A2E5" w:rsidR="00B77326" w:rsidRPr="00FA2A0D" w:rsidRDefault="00784983" w:rsidP="003725D5">
      <w:pPr>
        <w:jc w:val="both"/>
        <w:rPr>
          <w:color w:val="5B5D62" w:themeColor="accent6" w:themeShade="80"/>
          <w:lang w:val="en-AU"/>
        </w:rPr>
      </w:pPr>
      <w:r>
        <w:rPr>
          <w:color w:val="5B5D62" w:themeColor="accent6" w:themeShade="80"/>
          <w:lang w:val="en-AU"/>
        </w:rPr>
        <w:t xml:space="preserve">The Australian yield curve has </w:t>
      </w:r>
      <w:r w:rsidR="00566596">
        <w:rPr>
          <w:color w:val="5B5D62" w:themeColor="accent6" w:themeShade="80"/>
          <w:lang w:val="en-AU"/>
        </w:rPr>
        <w:t xml:space="preserve">normalised for quite some time </w:t>
      </w:r>
      <w:r w:rsidR="00260EFF">
        <w:rPr>
          <w:color w:val="5B5D62" w:themeColor="accent6" w:themeShade="80"/>
          <w:lang w:val="en-AU"/>
        </w:rPr>
        <w:t>now,</w:t>
      </w:r>
      <w:r w:rsidR="00566596">
        <w:rPr>
          <w:color w:val="5B5D62" w:themeColor="accent6" w:themeShade="80"/>
          <w:lang w:val="en-AU"/>
        </w:rPr>
        <w:t xml:space="preserve"> </w:t>
      </w:r>
      <w:r w:rsidR="00303623">
        <w:rPr>
          <w:color w:val="5B5D62" w:themeColor="accent6" w:themeShade="80"/>
          <w:lang w:val="en-AU"/>
        </w:rPr>
        <w:t xml:space="preserve">but we are still waiting to see whether </w:t>
      </w:r>
      <w:r w:rsidR="00760E99">
        <w:rPr>
          <w:color w:val="5B5D62" w:themeColor="accent6" w:themeShade="80"/>
          <w:lang w:val="en-AU"/>
        </w:rPr>
        <w:t xml:space="preserve">Australia will enter </w:t>
      </w:r>
      <w:r w:rsidR="00D12136">
        <w:rPr>
          <w:color w:val="5B5D62" w:themeColor="accent6" w:themeShade="80"/>
          <w:lang w:val="en-AU"/>
        </w:rPr>
        <w:t>a recession or narrowly avoid one as inflation slows.</w:t>
      </w:r>
    </w:p>
    <w:bookmarkEnd w:id="4"/>
    <w:p w14:paraId="39C51173" w14:textId="07260FCF" w:rsidR="00276F1F" w:rsidRDefault="009E35F7" w:rsidP="003725D5">
      <w:pPr>
        <w:pStyle w:val="Heading1"/>
        <w:jc w:val="both"/>
        <w:rPr>
          <w:lang w:val="en-AU"/>
        </w:rPr>
      </w:pPr>
      <w:r>
        <w:rPr>
          <w:lang w:val="en-AU"/>
        </w:rPr>
        <w:t>Outlook</w:t>
      </w:r>
    </w:p>
    <w:p w14:paraId="13252EDD" w14:textId="29B1E47F" w:rsidR="00D12136" w:rsidRDefault="005E642B" w:rsidP="00705578">
      <w:pPr>
        <w:jc w:val="both"/>
        <w:rPr>
          <w:color w:val="5B5D62" w:themeColor="accent6" w:themeShade="80"/>
          <w:lang w:val="en-AU"/>
        </w:rPr>
      </w:pPr>
      <w:bookmarkStart w:id="5" w:name="_Hlk133841423"/>
      <w:r>
        <w:rPr>
          <w:color w:val="5B5D62" w:themeColor="accent6" w:themeShade="80"/>
          <w:lang w:val="en-AU"/>
        </w:rPr>
        <w:t xml:space="preserve">Our outlook for the rest of 2024 remains much the same as it was at the start of the year. We initially predicted </w:t>
      </w:r>
      <w:r w:rsidR="00305173">
        <w:rPr>
          <w:color w:val="5B5D62" w:themeColor="accent6" w:themeShade="80"/>
          <w:lang w:val="en-AU"/>
        </w:rPr>
        <w:t xml:space="preserve">in January 2024 </w:t>
      </w:r>
      <w:r>
        <w:rPr>
          <w:color w:val="5B5D62" w:themeColor="accent6" w:themeShade="80"/>
          <w:lang w:val="en-AU"/>
        </w:rPr>
        <w:t xml:space="preserve">that </w:t>
      </w:r>
      <w:r w:rsidR="00492735">
        <w:rPr>
          <w:color w:val="5B5D62" w:themeColor="accent6" w:themeShade="80"/>
          <w:lang w:val="en-AU"/>
        </w:rPr>
        <w:t xml:space="preserve">most </w:t>
      </w:r>
      <w:r w:rsidR="00C946F6">
        <w:rPr>
          <w:color w:val="5B5D62" w:themeColor="accent6" w:themeShade="80"/>
          <w:lang w:val="en-AU"/>
        </w:rPr>
        <w:t xml:space="preserve">of the expectations for rate cuts around </w:t>
      </w:r>
      <w:r w:rsidR="00FB3B9F">
        <w:rPr>
          <w:color w:val="5B5D62" w:themeColor="accent6" w:themeShade="80"/>
          <w:lang w:val="en-AU"/>
        </w:rPr>
        <w:t>halfway</w:t>
      </w:r>
      <w:r w:rsidR="00C946F6">
        <w:rPr>
          <w:color w:val="5B5D62" w:themeColor="accent6" w:themeShade="80"/>
          <w:lang w:val="en-AU"/>
        </w:rPr>
        <w:t xml:space="preserve"> through the year were far </w:t>
      </w:r>
      <w:r w:rsidR="00305173">
        <w:rPr>
          <w:color w:val="5B5D62" w:themeColor="accent6" w:themeShade="80"/>
          <w:lang w:val="en-AU"/>
        </w:rPr>
        <w:t>too</w:t>
      </w:r>
      <w:r w:rsidR="00C946F6">
        <w:rPr>
          <w:color w:val="5B5D62" w:themeColor="accent6" w:themeShade="80"/>
          <w:lang w:val="en-AU"/>
        </w:rPr>
        <w:t xml:space="preserve"> optimistic, which has proved to be the case as many outlets have pushed their predictions back. </w:t>
      </w:r>
      <w:r w:rsidR="00FB3B9F">
        <w:rPr>
          <w:color w:val="5B5D62" w:themeColor="accent6" w:themeShade="80"/>
          <w:lang w:val="en-AU"/>
        </w:rPr>
        <w:t>We continue to predict that inflation will become stickier the closer we come to the RBA’s 2-3% target band</w:t>
      </w:r>
      <w:r w:rsidR="0075588C">
        <w:rPr>
          <w:color w:val="5B5D62" w:themeColor="accent6" w:themeShade="80"/>
          <w:lang w:val="en-AU"/>
        </w:rPr>
        <w:t>,</w:t>
      </w:r>
      <w:r w:rsidR="00E10228">
        <w:rPr>
          <w:color w:val="5B5D62" w:themeColor="accent6" w:themeShade="80"/>
          <w:lang w:val="en-AU"/>
        </w:rPr>
        <w:t xml:space="preserve"> </w:t>
      </w:r>
      <w:r w:rsidR="0075588C">
        <w:rPr>
          <w:color w:val="5B5D62" w:themeColor="accent6" w:themeShade="80"/>
          <w:lang w:val="en-AU"/>
        </w:rPr>
        <w:t>which</w:t>
      </w:r>
      <w:r w:rsidR="00E10228">
        <w:rPr>
          <w:color w:val="5B5D62" w:themeColor="accent6" w:themeShade="80"/>
          <w:lang w:val="en-AU"/>
        </w:rPr>
        <w:t xml:space="preserve"> has been clear to us in the strength </w:t>
      </w:r>
      <w:r w:rsidR="005E76BE">
        <w:rPr>
          <w:color w:val="5B5D62" w:themeColor="accent6" w:themeShade="80"/>
          <w:lang w:val="en-AU"/>
        </w:rPr>
        <w:t>of</w:t>
      </w:r>
      <w:r w:rsidR="00E10228">
        <w:rPr>
          <w:color w:val="5B5D62" w:themeColor="accent6" w:themeShade="80"/>
          <w:lang w:val="en-AU"/>
        </w:rPr>
        <w:t xml:space="preserve"> the labour market </w:t>
      </w:r>
      <w:r w:rsidR="00536B8C">
        <w:rPr>
          <w:color w:val="5B5D62" w:themeColor="accent6" w:themeShade="80"/>
          <w:lang w:val="en-AU"/>
        </w:rPr>
        <w:t xml:space="preserve">and the general economy </w:t>
      </w:r>
      <w:r w:rsidR="00E10228">
        <w:rPr>
          <w:color w:val="5B5D62" w:themeColor="accent6" w:themeShade="80"/>
          <w:lang w:val="en-AU"/>
        </w:rPr>
        <w:t>during th</w:t>
      </w:r>
      <w:r w:rsidR="00536B8C">
        <w:rPr>
          <w:color w:val="5B5D62" w:themeColor="accent6" w:themeShade="80"/>
          <w:lang w:val="en-AU"/>
        </w:rPr>
        <w:t xml:space="preserve">is </w:t>
      </w:r>
      <w:r w:rsidR="00E10228">
        <w:rPr>
          <w:color w:val="5B5D62" w:themeColor="accent6" w:themeShade="80"/>
          <w:lang w:val="en-AU"/>
        </w:rPr>
        <w:t>first quarter of the year</w:t>
      </w:r>
      <w:r w:rsidR="00FB3B9F">
        <w:rPr>
          <w:color w:val="5B5D62" w:themeColor="accent6" w:themeShade="80"/>
          <w:lang w:val="en-AU"/>
        </w:rPr>
        <w:t>.</w:t>
      </w:r>
      <w:r w:rsidR="00305173">
        <w:rPr>
          <w:color w:val="5B5D62" w:themeColor="accent6" w:themeShade="80"/>
          <w:lang w:val="en-AU"/>
        </w:rPr>
        <w:t xml:space="preserve"> Our belief is that given the RBA lagged the other central banks with lifting interest rates</w:t>
      </w:r>
      <w:r w:rsidR="0031051B">
        <w:rPr>
          <w:color w:val="5B5D62" w:themeColor="accent6" w:themeShade="80"/>
          <w:lang w:val="en-AU"/>
        </w:rPr>
        <w:t xml:space="preserve"> (</w:t>
      </w:r>
      <w:proofErr w:type="gramStart"/>
      <w:r w:rsidR="0031051B">
        <w:rPr>
          <w:color w:val="5B5D62" w:themeColor="accent6" w:themeShade="80"/>
          <w:lang w:val="en-AU"/>
        </w:rPr>
        <w:t>in particular the</w:t>
      </w:r>
      <w:proofErr w:type="gramEnd"/>
      <w:r w:rsidR="0031051B">
        <w:rPr>
          <w:color w:val="5B5D62" w:themeColor="accent6" w:themeShade="80"/>
          <w:lang w:val="en-AU"/>
        </w:rPr>
        <w:t xml:space="preserve"> US)</w:t>
      </w:r>
      <w:r w:rsidR="00305173">
        <w:rPr>
          <w:color w:val="5B5D62" w:themeColor="accent6" w:themeShade="80"/>
          <w:lang w:val="en-AU"/>
        </w:rPr>
        <w:t xml:space="preserve">, they will also lag other central banks on the way down. </w:t>
      </w:r>
    </w:p>
    <w:p w14:paraId="40DFA6C0" w14:textId="1B4A474D" w:rsidR="00BC0ECB" w:rsidRDefault="00305173" w:rsidP="00705578">
      <w:pPr>
        <w:jc w:val="both"/>
        <w:rPr>
          <w:color w:val="5B5D62" w:themeColor="accent6" w:themeShade="80"/>
          <w:lang w:val="en-AU"/>
        </w:rPr>
      </w:pPr>
      <w:r>
        <w:rPr>
          <w:color w:val="5B5D62" w:themeColor="accent6" w:themeShade="80"/>
          <w:lang w:val="en-AU"/>
        </w:rPr>
        <w:t>Regarding</w:t>
      </w:r>
      <w:r w:rsidR="009C1F08">
        <w:rPr>
          <w:color w:val="5B5D62" w:themeColor="accent6" w:themeShade="80"/>
          <w:lang w:val="en-AU"/>
        </w:rPr>
        <w:t xml:space="preserve"> </w:t>
      </w:r>
      <w:r w:rsidR="00A508F8">
        <w:rPr>
          <w:color w:val="5B5D62" w:themeColor="accent6" w:themeShade="80"/>
          <w:lang w:val="en-AU"/>
        </w:rPr>
        <w:t>equities,</w:t>
      </w:r>
      <w:r w:rsidR="009C1F08">
        <w:rPr>
          <w:color w:val="5B5D62" w:themeColor="accent6" w:themeShade="80"/>
          <w:lang w:val="en-AU"/>
        </w:rPr>
        <w:t xml:space="preserve"> we </w:t>
      </w:r>
      <w:r w:rsidR="00722B5A">
        <w:rPr>
          <w:color w:val="5B5D62" w:themeColor="accent6" w:themeShade="80"/>
          <w:lang w:val="en-AU"/>
        </w:rPr>
        <w:t xml:space="preserve">continue to expect </w:t>
      </w:r>
      <w:r w:rsidR="002505A4">
        <w:rPr>
          <w:color w:val="5B5D62" w:themeColor="accent6" w:themeShade="80"/>
          <w:lang w:val="en-AU"/>
        </w:rPr>
        <w:t>volatility</w:t>
      </w:r>
      <w:r w:rsidR="00722B5A">
        <w:rPr>
          <w:color w:val="5B5D62" w:themeColor="accent6" w:themeShade="80"/>
          <w:lang w:val="en-AU"/>
        </w:rPr>
        <w:t xml:space="preserve"> as </w:t>
      </w:r>
      <w:r w:rsidR="004706A8">
        <w:rPr>
          <w:color w:val="5B5D62" w:themeColor="accent6" w:themeShade="80"/>
          <w:lang w:val="en-AU"/>
        </w:rPr>
        <w:t>rate cuts fail to arrive for most of the year.</w:t>
      </w:r>
      <w:r w:rsidR="009C1F08">
        <w:rPr>
          <w:color w:val="5B5D62" w:themeColor="accent6" w:themeShade="80"/>
          <w:lang w:val="en-AU"/>
        </w:rPr>
        <w:t xml:space="preserve"> </w:t>
      </w:r>
      <w:r w:rsidR="00494DB3">
        <w:rPr>
          <w:color w:val="5B5D62" w:themeColor="accent6" w:themeShade="80"/>
          <w:lang w:val="en-AU"/>
        </w:rPr>
        <w:t>This does</w:t>
      </w:r>
      <w:r w:rsidR="00884EB8">
        <w:rPr>
          <w:color w:val="5B5D62" w:themeColor="accent6" w:themeShade="80"/>
          <w:lang w:val="en-AU"/>
        </w:rPr>
        <w:t xml:space="preserve"> not mean that </w:t>
      </w:r>
      <w:r w:rsidR="00494DB3">
        <w:rPr>
          <w:color w:val="5B5D62" w:themeColor="accent6" w:themeShade="80"/>
          <w:lang w:val="en-AU"/>
        </w:rPr>
        <w:t xml:space="preserve">equities cannot perform well between data releases and central bank </w:t>
      </w:r>
      <w:r w:rsidR="00637DBE">
        <w:rPr>
          <w:color w:val="5B5D62" w:themeColor="accent6" w:themeShade="80"/>
          <w:lang w:val="en-AU"/>
        </w:rPr>
        <w:t>meetings,</w:t>
      </w:r>
      <w:r w:rsidR="00DA5A2E">
        <w:rPr>
          <w:color w:val="5B5D62" w:themeColor="accent6" w:themeShade="80"/>
          <w:lang w:val="en-AU"/>
        </w:rPr>
        <w:t xml:space="preserve"> but </w:t>
      </w:r>
      <w:r w:rsidR="00AA578B">
        <w:rPr>
          <w:color w:val="5B5D62" w:themeColor="accent6" w:themeShade="80"/>
          <w:lang w:val="en-AU"/>
        </w:rPr>
        <w:t>we believe there will be greater volatility</w:t>
      </w:r>
      <w:r w:rsidR="00291156">
        <w:rPr>
          <w:color w:val="5B5D62" w:themeColor="accent6" w:themeShade="80"/>
          <w:lang w:val="en-AU"/>
        </w:rPr>
        <w:t xml:space="preserve">. </w:t>
      </w:r>
      <w:proofErr w:type="gramStart"/>
      <w:r w:rsidR="00C03A93">
        <w:rPr>
          <w:color w:val="5B5D62" w:themeColor="accent6" w:themeShade="80"/>
          <w:lang w:val="en-AU"/>
        </w:rPr>
        <w:t>In order to</w:t>
      </w:r>
      <w:proofErr w:type="gramEnd"/>
      <w:r w:rsidR="00C03A93">
        <w:rPr>
          <w:color w:val="5B5D62" w:themeColor="accent6" w:themeShade="80"/>
          <w:lang w:val="en-AU"/>
        </w:rPr>
        <w:t xml:space="preserve"> </w:t>
      </w:r>
      <w:r w:rsidR="00FF19E1">
        <w:rPr>
          <w:color w:val="5B5D62" w:themeColor="accent6" w:themeShade="80"/>
          <w:lang w:val="en-AU"/>
        </w:rPr>
        <w:t xml:space="preserve">allocate your portfolio effectively in light of this prediction we continue to suggest a well-diversified </w:t>
      </w:r>
      <w:r w:rsidR="00637DBE">
        <w:rPr>
          <w:color w:val="5B5D62" w:themeColor="accent6" w:themeShade="80"/>
          <w:lang w:val="en-AU"/>
        </w:rPr>
        <w:t xml:space="preserve">equity </w:t>
      </w:r>
      <w:r w:rsidR="00FF19E1">
        <w:rPr>
          <w:color w:val="5B5D62" w:themeColor="accent6" w:themeShade="80"/>
          <w:lang w:val="en-AU"/>
        </w:rPr>
        <w:t>portfolio</w:t>
      </w:r>
      <w:r w:rsidR="000678DE">
        <w:rPr>
          <w:color w:val="5B5D62" w:themeColor="accent6" w:themeShade="80"/>
          <w:lang w:val="en-AU"/>
        </w:rPr>
        <w:t xml:space="preserve">, allowing access to any broad market rallies while limiting exposure to </w:t>
      </w:r>
      <w:r w:rsidR="009D61AD">
        <w:rPr>
          <w:color w:val="5B5D62" w:themeColor="accent6" w:themeShade="80"/>
          <w:lang w:val="en-AU"/>
        </w:rPr>
        <w:t xml:space="preserve">rate sensitive sectors that </w:t>
      </w:r>
      <w:r w:rsidR="00EC4784">
        <w:rPr>
          <w:color w:val="5B5D62" w:themeColor="accent6" w:themeShade="80"/>
          <w:lang w:val="en-AU"/>
        </w:rPr>
        <w:t>may exhibit more of the aforementioned volatility.</w:t>
      </w:r>
    </w:p>
    <w:p w14:paraId="468056CC" w14:textId="50D32F58" w:rsidR="00536B8C" w:rsidRDefault="000113C8" w:rsidP="00705578">
      <w:pPr>
        <w:jc w:val="both"/>
        <w:rPr>
          <w:color w:val="5B5D62" w:themeColor="accent6" w:themeShade="80"/>
          <w:lang w:val="en-AU"/>
        </w:rPr>
      </w:pPr>
      <w:r>
        <w:rPr>
          <w:color w:val="5B5D62" w:themeColor="accent6" w:themeShade="80"/>
          <w:lang w:val="en-AU"/>
        </w:rPr>
        <w:t xml:space="preserve">It is a time for some slight caution in fixed income </w:t>
      </w:r>
      <w:r w:rsidR="001821F3">
        <w:rPr>
          <w:color w:val="5B5D62" w:themeColor="accent6" w:themeShade="80"/>
          <w:lang w:val="en-AU"/>
        </w:rPr>
        <w:t xml:space="preserve">as central banks watch inflation data closely to determine their next course of </w:t>
      </w:r>
      <w:r w:rsidR="00802222">
        <w:rPr>
          <w:color w:val="5B5D62" w:themeColor="accent6" w:themeShade="80"/>
          <w:lang w:val="en-AU"/>
        </w:rPr>
        <w:t>action,</w:t>
      </w:r>
      <w:r w:rsidR="001821F3">
        <w:rPr>
          <w:color w:val="5B5D62" w:themeColor="accent6" w:themeShade="80"/>
          <w:lang w:val="en-AU"/>
        </w:rPr>
        <w:t xml:space="preserve"> so we suggest a </w:t>
      </w:r>
      <w:r w:rsidR="00766DFE">
        <w:rPr>
          <w:color w:val="5B5D62" w:themeColor="accent6" w:themeShade="80"/>
          <w:lang w:val="en-AU"/>
        </w:rPr>
        <w:t xml:space="preserve">medium duration approach to fixed income investing. </w:t>
      </w:r>
      <w:r w:rsidR="005131E4">
        <w:rPr>
          <w:color w:val="5B5D62" w:themeColor="accent6" w:themeShade="80"/>
          <w:lang w:val="en-AU"/>
        </w:rPr>
        <w:t xml:space="preserve">While it seems unlikely </w:t>
      </w:r>
      <w:proofErr w:type="gramStart"/>
      <w:r w:rsidR="005131E4">
        <w:rPr>
          <w:color w:val="5B5D62" w:themeColor="accent6" w:themeShade="80"/>
          <w:lang w:val="en-AU"/>
        </w:rPr>
        <w:t>at the moment</w:t>
      </w:r>
      <w:proofErr w:type="gramEnd"/>
      <w:r w:rsidR="005131E4">
        <w:rPr>
          <w:color w:val="5B5D62" w:themeColor="accent6" w:themeShade="80"/>
          <w:lang w:val="en-AU"/>
        </w:rPr>
        <w:t xml:space="preserve"> that central banks </w:t>
      </w:r>
      <w:r w:rsidR="000D1F95">
        <w:rPr>
          <w:color w:val="5B5D62" w:themeColor="accent6" w:themeShade="80"/>
          <w:lang w:val="en-AU"/>
        </w:rPr>
        <w:t>will raise interest rates once more</w:t>
      </w:r>
      <w:r w:rsidR="00A314B8">
        <w:rPr>
          <w:color w:val="5B5D62" w:themeColor="accent6" w:themeShade="80"/>
          <w:lang w:val="en-AU"/>
        </w:rPr>
        <w:t xml:space="preserve">, if the data suggests that inflation is resurging then they will have little other choice. </w:t>
      </w:r>
      <w:r w:rsidR="004F7D3A">
        <w:rPr>
          <w:color w:val="5B5D62" w:themeColor="accent6" w:themeShade="80"/>
          <w:lang w:val="en-AU"/>
        </w:rPr>
        <w:t xml:space="preserve">It is due to this slight chance that we suggest a </w:t>
      </w:r>
      <w:r w:rsidR="00305173">
        <w:rPr>
          <w:color w:val="5B5D62" w:themeColor="accent6" w:themeShade="80"/>
          <w:lang w:val="en-AU"/>
        </w:rPr>
        <w:t>slight overweight to d</w:t>
      </w:r>
      <w:r w:rsidR="004F7D3A">
        <w:rPr>
          <w:color w:val="5B5D62" w:themeColor="accent6" w:themeShade="80"/>
          <w:lang w:val="en-AU"/>
        </w:rPr>
        <w:t>uration</w:t>
      </w:r>
      <w:r w:rsidR="00305173">
        <w:rPr>
          <w:color w:val="5B5D62" w:themeColor="accent6" w:themeShade="80"/>
          <w:lang w:val="en-AU"/>
        </w:rPr>
        <w:t>. This</w:t>
      </w:r>
      <w:r w:rsidR="004F7D3A">
        <w:rPr>
          <w:color w:val="5B5D62" w:themeColor="accent6" w:themeShade="80"/>
          <w:lang w:val="en-AU"/>
        </w:rPr>
        <w:t xml:space="preserve"> approach </w:t>
      </w:r>
      <w:r w:rsidR="00305173">
        <w:rPr>
          <w:color w:val="5B5D62" w:themeColor="accent6" w:themeShade="80"/>
          <w:lang w:val="en-AU"/>
        </w:rPr>
        <w:t xml:space="preserve">should </w:t>
      </w:r>
      <w:r w:rsidR="00F723C3">
        <w:rPr>
          <w:color w:val="5B5D62" w:themeColor="accent6" w:themeShade="80"/>
          <w:lang w:val="en-AU"/>
        </w:rPr>
        <w:t>prove beneficial in</w:t>
      </w:r>
      <w:r w:rsidR="00F36C4D">
        <w:rPr>
          <w:color w:val="5B5D62" w:themeColor="accent6" w:themeShade="80"/>
          <w:lang w:val="en-AU"/>
        </w:rPr>
        <w:t xml:space="preserve"> </w:t>
      </w:r>
      <w:r w:rsidR="00305173">
        <w:rPr>
          <w:color w:val="5B5D62" w:themeColor="accent6" w:themeShade="80"/>
          <w:lang w:val="en-AU"/>
        </w:rPr>
        <w:t>a</w:t>
      </w:r>
      <w:r w:rsidR="00F36C4D">
        <w:rPr>
          <w:color w:val="5B5D62" w:themeColor="accent6" w:themeShade="80"/>
          <w:lang w:val="en-AU"/>
        </w:rPr>
        <w:t xml:space="preserve"> scenario</w:t>
      </w:r>
      <w:r w:rsidR="00305173">
        <w:rPr>
          <w:color w:val="5B5D62" w:themeColor="accent6" w:themeShade="80"/>
          <w:lang w:val="en-AU"/>
        </w:rPr>
        <w:t xml:space="preserve"> of interest rate cuts</w:t>
      </w:r>
      <w:r w:rsidR="00F36C4D">
        <w:rPr>
          <w:color w:val="5B5D62" w:themeColor="accent6" w:themeShade="80"/>
          <w:lang w:val="en-AU"/>
        </w:rPr>
        <w:t xml:space="preserve"> while </w:t>
      </w:r>
      <w:r w:rsidR="00F723C3">
        <w:rPr>
          <w:color w:val="5B5D62" w:themeColor="accent6" w:themeShade="80"/>
          <w:lang w:val="en-AU"/>
        </w:rPr>
        <w:t xml:space="preserve">also </w:t>
      </w:r>
      <w:r w:rsidR="00F36C4D">
        <w:rPr>
          <w:color w:val="5B5D62" w:themeColor="accent6" w:themeShade="80"/>
          <w:lang w:val="en-AU"/>
        </w:rPr>
        <w:t xml:space="preserve">providing </w:t>
      </w:r>
      <w:r w:rsidR="00DC4DEB">
        <w:rPr>
          <w:color w:val="5B5D62" w:themeColor="accent6" w:themeShade="80"/>
          <w:lang w:val="en-AU"/>
        </w:rPr>
        <w:t xml:space="preserve">a healthy </w:t>
      </w:r>
      <w:r w:rsidR="00305173">
        <w:rPr>
          <w:color w:val="5B5D62" w:themeColor="accent6" w:themeShade="80"/>
          <w:lang w:val="en-AU"/>
        </w:rPr>
        <w:t>incom</w:t>
      </w:r>
      <w:r w:rsidR="00DC4DEB">
        <w:rPr>
          <w:color w:val="5B5D62" w:themeColor="accent6" w:themeShade="80"/>
          <w:lang w:val="en-AU"/>
        </w:rPr>
        <w:t>e</w:t>
      </w:r>
      <w:r w:rsidR="00423500">
        <w:rPr>
          <w:color w:val="5B5D62" w:themeColor="accent6" w:themeShade="80"/>
          <w:lang w:val="en-AU"/>
        </w:rPr>
        <w:t xml:space="preserve"> in the more likely scenario that rates remain at their current level </w:t>
      </w:r>
      <w:r w:rsidR="00305173">
        <w:rPr>
          <w:color w:val="5B5D62" w:themeColor="accent6" w:themeShade="80"/>
          <w:lang w:val="en-AU"/>
        </w:rPr>
        <w:t xml:space="preserve">for a longer </w:t>
      </w:r>
      <w:proofErr w:type="gramStart"/>
      <w:r w:rsidR="00305173">
        <w:rPr>
          <w:color w:val="5B5D62" w:themeColor="accent6" w:themeShade="80"/>
          <w:lang w:val="en-AU"/>
        </w:rPr>
        <w:t>period of time</w:t>
      </w:r>
      <w:proofErr w:type="gramEnd"/>
      <w:r w:rsidR="00305173">
        <w:rPr>
          <w:color w:val="5B5D62" w:themeColor="accent6" w:themeShade="80"/>
          <w:lang w:val="en-AU"/>
        </w:rPr>
        <w:t xml:space="preserve"> before they </w:t>
      </w:r>
      <w:r w:rsidR="00423500">
        <w:rPr>
          <w:color w:val="5B5D62" w:themeColor="accent6" w:themeShade="80"/>
          <w:lang w:val="en-AU"/>
        </w:rPr>
        <w:t>are eventually lowered.</w:t>
      </w:r>
    </w:p>
    <w:bookmarkEnd w:id="2"/>
    <w:bookmarkEnd w:id="5"/>
    <w:p w14:paraId="6450751C" w14:textId="43C64F22" w:rsidR="006A239B" w:rsidRPr="00DE4A0E" w:rsidRDefault="006A239B" w:rsidP="003725D5">
      <w:pPr>
        <w:jc w:val="both"/>
        <w:rPr>
          <w:color w:val="5B5D62" w:themeColor="accent6" w:themeShade="80"/>
          <w:lang w:val="en-AU"/>
        </w:rPr>
        <w:sectPr w:rsidR="006A239B" w:rsidRPr="00DE4A0E" w:rsidSect="00364E83">
          <w:type w:val="continuous"/>
          <w:pgSz w:w="11906" w:h="16838"/>
          <w:pgMar w:top="1531" w:right="1021" w:bottom="1701" w:left="1021" w:header="709" w:footer="794" w:gutter="0"/>
          <w:cols w:num="2" w:space="708"/>
          <w:docGrid w:linePitch="360"/>
        </w:sectPr>
      </w:pPr>
    </w:p>
    <w:p w14:paraId="2BC26B71" w14:textId="77777777" w:rsidR="005E750F" w:rsidRDefault="005E750F" w:rsidP="003725D5">
      <w:pPr>
        <w:jc w:val="both"/>
        <w:rPr>
          <w:b/>
          <w:color w:val="5B5D62" w:themeColor="accent6" w:themeShade="80"/>
          <w:sz w:val="16"/>
          <w:szCs w:val="16"/>
          <w:lang w:val="en-AU"/>
        </w:rPr>
      </w:pPr>
    </w:p>
    <w:p w14:paraId="59FA4E88" w14:textId="77777777" w:rsidR="006854BC" w:rsidRDefault="006854BC" w:rsidP="003725D5">
      <w:pPr>
        <w:jc w:val="both"/>
        <w:rPr>
          <w:b/>
          <w:color w:val="5B5D62" w:themeColor="accent6" w:themeShade="80"/>
          <w:sz w:val="16"/>
          <w:szCs w:val="16"/>
          <w:lang w:val="en-AU"/>
        </w:rPr>
      </w:pPr>
    </w:p>
    <w:p w14:paraId="5BBA3D6E" w14:textId="14213BA8" w:rsidR="00357543" w:rsidRPr="00DE4A0E" w:rsidRDefault="00357543" w:rsidP="003725D5">
      <w:pPr>
        <w:jc w:val="both"/>
        <w:rPr>
          <w:b/>
          <w:color w:val="5B5D62" w:themeColor="accent6" w:themeShade="80"/>
          <w:sz w:val="16"/>
          <w:szCs w:val="16"/>
          <w:lang w:val="en-AU"/>
        </w:rPr>
        <w:sectPr w:rsidR="00357543" w:rsidRPr="00DE4A0E" w:rsidSect="00364E83">
          <w:type w:val="continuous"/>
          <w:pgSz w:w="11906" w:h="16838"/>
          <w:pgMar w:top="1531" w:right="1021" w:bottom="1701" w:left="1021" w:header="709" w:footer="794" w:gutter="0"/>
          <w:cols w:space="708"/>
          <w:docGrid w:linePitch="360"/>
        </w:sectPr>
      </w:pPr>
      <w:r w:rsidRPr="00DE4A0E">
        <w:rPr>
          <w:b/>
          <w:color w:val="5B5D62" w:themeColor="accent6" w:themeShade="80"/>
          <w:sz w:val="16"/>
          <w:szCs w:val="16"/>
          <w:lang w:val="en-AU"/>
        </w:rPr>
        <w:lastRenderedPageBreak/>
        <w:t>General Advice Warning</w:t>
      </w:r>
    </w:p>
    <w:p w14:paraId="12D3998D" w14:textId="77777777" w:rsidR="00357543" w:rsidRPr="00DE4A0E" w:rsidRDefault="00357543" w:rsidP="003725D5">
      <w:pPr>
        <w:spacing w:before="100" w:after="200" w:line="276" w:lineRule="auto"/>
        <w:jc w:val="both"/>
        <w:rPr>
          <w:rFonts w:eastAsiaTheme="minorEastAsia"/>
          <w:color w:val="5B5D62" w:themeColor="accent6" w:themeShade="80"/>
          <w:sz w:val="16"/>
          <w:lang w:val="en-AU"/>
        </w:rPr>
      </w:pPr>
      <w:r w:rsidRPr="00DE4A0E">
        <w:rPr>
          <w:rFonts w:eastAsiaTheme="minorEastAsia"/>
          <w:color w:val="5B5D62" w:themeColor="accent6" w:themeShade="80"/>
          <w:sz w:val="16"/>
          <w:lang w:val="en-AU"/>
        </w:rPr>
        <w:t xml:space="preserve">This update is issued by Ventura Investment Management Limited (AFSL 253045), which is a related body corporate of Centrepoint Alliance Limited. </w:t>
      </w:r>
    </w:p>
    <w:p w14:paraId="5AB681F9" w14:textId="77777777" w:rsidR="00357543" w:rsidRPr="00DE4A0E" w:rsidRDefault="00357543" w:rsidP="003725D5">
      <w:pPr>
        <w:spacing w:before="100" w:after="200" w:line="276" w:lineRule="auto"/>
        <w:jc w:val="both"/>
        <w:rPr>
          <w:rFonts w:eastAsiaTheme="minorEastAsia"/>
          <w:color w:val="5B5D62" w:themeColor="accent6" w:themeShade="80"/>
          <w:sz w:val="16"/>
          <w:lang w:val="en-AU"/>
        </w:rPr>
      </w:pPr>
      <w:r w:rsidRPr="00DE4A0E">
        <w:rPr>
          <w:rFonts w:eastAsiaTheme="minorEastAsia"/>
          <w:color w:val="5B5D62" w:themeColor="accent6" w:themeShade="80"/>
          <w:sz w:val="16"/>
          <w:lang w:val="en-AU"/>
        </w:rPr>
        <w:t xml:space="preserve">The information provided is general advice only and does not </w:t>
      </w:r>
      <w:proofErr w:type="gramStart"/>
      <w:r w:rsidRPr="00DE4A0E">
        <w:rPr>
          <w:rFonts w:eastAsiaTheme="minorEastAsia"/>
          <w:color w:val="5B5D62" w:themeColor="accent6" w:themeShade="80"/>
          <w:sz w:val="16"/>
          <w:lang w:val="en-AU"/>
        </w:rPr>
        <w:t>take into account</w:t>
      </w:r>
      <w:proofErr w:type="gramEnd"/>
      <w:r w:rsidRPr="00DE4A0E">
        <w:rPr>
          <w:rFonts w:eastAsiaTheme="minorEastAsia"/>
          <w:color w:val="5B5D62" w:themeColor="accent6" w:themeShade="80"/>
          <w:sz w:val="16"/>
          <w:lang w:val="en-AU"/>
        </w:rPr>
        <w:t xml:space="preserve"> your financial circumstances, needs or objectives. Where you are considering the acquisition, or possible acquisition, of a particular financial product, you should obtain a Product Disclosure Statement for the relevant product before you make any decision to invest. Past performance does not necessarily indicate a financial product’s future performance. It is imperative that you seek advice from a registered professional financial adviser before making any investment decisions. </w:t>
      </w:r>
    </w:p>
    <w:p w14:paraId="26A51FCD" w14:textId="77777777" w:rsidR="00357543" w:rsidRPr="00DE4A0E" w:rsidRDefault="00357543" w:rsidP="003725D5">
      <w:pPr>
        <w:spacing w:before="100" w:after="200" w:line="276" w:lineRule="auto"/>
        <w:jc w:val="both"/>
        <w:rPr>
          <w:rFonts w:eastAsiaTheme="minorEastAsia"/>
          <w:color w:val="5B5D62" w:themeColor="accent6" w:themeShade="80"/>
          <w:sz w:val="16"/>
          <w:lang w:val="en-AU"/>
        </w:rPr>
      </w:pPr>
      <w:r w:rsidRPr="00DE4A0E">
        <w:rPr>
          <w:rFonts w:eastAsiaTheme="minorEastAsia"/>
          <w:color w:val="5B5D62" w:themeColor="accent6" w:themeShade="80"/>
          <w:sz w:val="16"/>
          <w:lang w:val="en-AU"/>
        </w:rPr>
        <w:t xml:space="preserve">For more information, refer to the </w:t>
      </w:r>
      <w:hyperlink r:id="rId20" w:history="1">
        <w:r w:rsidRPr="00DE4A0E">
          <w:rPr>
            <w:rStyle w:val="Hyperlink"/>
            <w:rFonts w:eastAsiaTheme="minorEastAsia"/>
            <w:color w:val="0D6A75" w:themeColor="hyperlink" w:themeShade="80"/>
            <w:sz w:val="16"/>
            <w:lang w:val="en-AU"/>
          </w:rPr>
          <w:t>Financial Services Guide (FSG)</w:t>
        </w:r>
      </w:hyperlink>
      <w:r w:rsidRPr="00DE4A0E">
        <w:rPr>
          <w:rFonts w:eastAsiaTheme="minorEastAsia"/>
          <w:color w:val="5B5D62" w:themeColor="accent6" w:themeShade="80"/>
          <w:sz w:val="16"/>
          <w:lang w:val="en-AU"/>
        </w:rPr>
        <w:t xml:space="preserve"> for Ventura Investment Management Limited (available at).</w:t>
      </w:r>
    </w:p>
    <w:p w14:paraId="27C1B5FE" w14:textId="77777777" w:rsidR="00357543" w:rsidRPr="00DE4A0E" w:rsidRDefault="00357543" w:rsidP="003725D5">
      <w:pPr>
        <w:jc w:val="both"/>
        <w:rPr>
          <w:b/>
          <w:color w:val="5B5D62" w:themeColor="accent6" w:themeShade="80"/>
          <w:sz w:val="16"/>
          <w:szCs w:val="16"/>
          <w:lang w:val="en-AU"/>
        </w:rPr>
      </w:pPr>
      <w:r w:rsidRPr="00DE4A0E">
        <w:rPr>
          <w:b/>
          <w:color w:val="5B5D62" w:themeColor="accent6" w:themeShade="80"/>
          <w:sz w:val="16"/>
          <w:szCs w:val="16"/>
          <w:lang w:val="en-AU"/>
        </w:rPr>
        <w:t>Disclaimer</w:t>
      </w:r>
    </w:p>
    <w:p w14:paraId="4D6FA5CB" w14:textId="51367CE7" w:rsidR="00357543" w:rsidRPr="00DE4A0E" w:rsidRDefault="00357543" w:rsidP="003725D5">
      <w:pPr>
        <w:spacing w:before="100" w:after="200" w:line="276" w:lineRule="auto"/>
        <w:jc w:val="both"/>
        <w:rPr>
          <w:rFonts w:eastAsiaTheme="minorEastAsia"/>
          <w:color w:val="5B5D62" w:themeColor="accent6" w:themeShade="80"/>
          <w:sz w:val="16"/>
          <w:lang w:val="en-AU"/>
        </w:rPr>
        <w:sectPr w:rsidR="00357543" w:rsidRPr="00DE4A0E" w:rsidSect="00364E83">
          <w:type w:val="continuous"/>
          <w:pgSz w:w="11906" w:h="16838" w:code="9"/>
          <w:pgMar w:top="1531" w:right="1021" w:bottom="1701" w:left="1021" w:header="709" w:footer="794" w:gutter="0"/>
          <w:cols w:space="708"/>
          <w:docGrid w:linePitch="360"/>
        </w:sectPr>
      </w:pPr>
      <w:r w:rsidRPr="00DE4A0E">
        <w:rPr>
          <w:rFonts w:eastAsiaTheme="minorEastAsia"/>
          <w:color w:val="5B5D62" w:themeColor="accent6" w:themeShade="80"/>
          <w:sz w:val="16"/>
          <w:lang w:val="en-AU"/>
        </w:rPr>
        <w:t xml:space="preserve">While Centrepoint Alliance Limited and its related bodies corporate try to ensure that the content of this update is accurate, adequate, and complete, it does not represent or warrant its accuracy, </w:t>
      </w:r>
      <w:proofErr w:type="gramStart"/>
      <w:r w:rsidRPr="00DE4A0E">
        <w:rPr>
          <w:rFonts w:eastAsiaTheme="minorEastAsia"/>
          <w:color w:val="5B5D62" w:themeColor="accent6" w:themeShade="80"/>
          <w:sz w:val="16"/>
          <w:lang w:val="en-AU"/>
        </w:rPr>
        <w:t>adequacy</w:t>
      </w:r>
      <w:proofErr w:type="gramEnd"/>
      <w:r w:rsidRPr="00DE4A0E">
        <w:rPr>
          <w:rFonts w:eastAsiaTheme="minorEastAsia"/>
          <w:color w:val="5B5D62" w:themeColor="accent6" w:themeShade="80"/>
          <w:sz w:val="16"/>
          <w:lang w:val="en-AU"/>
        </w:rPr>
        <w:t xml:space="preserve"> or completeness. Centrepoint Alliance Limited is not responsible for any loss suffered </w:t>
      </w:r>
      <w:proofErr w:type="gramStart"/>
      <w:r w:rsidRPr="00DE4A0E">
        <w:rPr>
          <w:rFonts w:eastAsiaTheme="minorEastAsia"/>
          <w:color w:val="5B5D62" w:themeColor="accent6" w:themeShade="80"/>
          <w:sz w:val="16"/>
          <w:lang w:val="en-AU"/>
        </w:rPr>
        <w:t>as a result of</w:t>
      </w:r>
      <w:proofErr w:type="gramEnd"/>
      <w:r w:rsidRPr="00DE4A0E">
        <w:rPr>
          <w:rFonts w:eastAsiaTheme="minorEastAsia"/>
          <w:color w:val="5B5D62" w:themeColor="accent6" w:themeShade="80"/>
          <w:sz w:val="16"/>
          <w:lang w:val="en-AU"/>
        </w:rPr>
        <w:t xml:space="preserve"> or in relation of the use of this update. To the extent permitted by law, Centrepoint Alliance Limited excludes any liability, including negligence, for any loss, including indirect or consequential damages arising from or in relation to the use of this upd</w:t>
      </w:r>
      <w:r w:rsidR="00583842">
        <w:rPr>
          <w:rFonts w:eastAsiaTheme="minorEastAsia"/>
          <w:color w:val="5B5D62" w:themeColor="accent6" w:themeShade="80"/>
          <w:sz w:val="16"/>
          <w:lang w:val="en-AU"/>
        </w:rPr>
        <w:t>ate</w:t>
      </w:r>
      <w:r w:rsidR="00492BFE">
        <w:rPr>
          <w:rFonts w:eastAsiaTheme="minorEastAsia"/>
          <w:color w:val="5B5D62" w:themeColor="accent6" w:themeShade="80"/>
          <w:sz w:val="16"/>
          <w:lang w:val="en-AU"/>
        </w:rPr>
        <w:t>.</w:t>
      </w:r>
    </w:p>
    <w:bookmarkEnd w:id="3"/>
    <w:p w14:paraId="44C3164C" w14:textId="5E9A2C63" w:rsidR="00357543" w:rsidRPr="00492BFE" w:rsidRDefault="00357543" w:rsidP="003725D5">
      <w:pPr>
        <w:pStyle w:val="BodyText"/>
        <w:jc w:val="both"/>
        <w:rPr>
          <w:color w:val="808080" w:themeColor="background1" w:themeShade="80"/>
          <w:sz w:val="2"/>
          <w:szCs w:val="2"/>
          <w:lang w:val="en-AU"/>
        </w:rPr>
      </w:pPr>
    </w:p>
    <w:sectPr w:rsidR="00357543" w:rsidRPr="00492BFE" w:rsidSect="00364E83">
      <w:type w:val="continuous"/>
      <w:pgSz w:w="11906" w:h="16838" w:code="9"/>
      <w:pgMar w:top="992" w:right="1021" w:bottom="1701" w:left="1021" w:header="284" w:footer="79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7CF5" w14:textId="77777777" w:rsidR="00364E83" w:rsidRDefault="00364E83" w:rsidP="008F222C">
      <w:r>
        <w:separator/>
      </w:r>
    </w:p>
  </w:endnote>
  <w:endnote w:type="continuationSeparator" w:id="0">
    <w:p w14:paraId="4AD4F70A" w14:textId="77777777" w:rsidR="00364E83" w:rsidRDefault="00364E83" w:rsidP="008F222C">
      <w:r>
        <w:continuationSeparator/>
      </w:r>
    </w:p>
  </w:endnote>
  <w:endnote w:type="continuationNotice" w:id="1">
    <w:p w14:paraId="5704ED1B" w14:textId="77777777" w:rsidR="00364E83" w:rsidRDefault="00364E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1F6" w14:textId="5015B48A"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EndPr/>
      <w:sdtContent>
        <w:r w:rsidR="00E635DA">
          <w:t>Market and Economic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5BEE" w14:textId="53F021AE"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EndPr/>
      <w:sdtContent>
        <w:r w:rsidR="00E635DA">
          <w:t>Market and Economic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D1A5" w14:textId="77777777" w:rsidR="00364E83" w:rsidRDefault="00364E83" w:rsidP="008F222C">
      <w:r>
        <w:separator/>
      </w:r>
    </w:p>
  </w:footnote>
  <w:footnote w:type="continuationSeparator" w:id="0">
    <w:p w14:paraId="04D9167D" w14:textId="77777777" w:rsidR="00364E83" w:rsidRDefault="00364E83" w:rsidP="008F222C">
      <w:r>
        <w:continuationSeparator/>
      </w:r>
    </w:p>
  </w:footnote>
  <w:footnote w:type="continuationNotice" w:id="1">
    <w:p w14:paraId="1E1C8C73" w14:textId="77777777" w:rsidR="00364E83" w:rsidRDefault="00364E8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676" w14:textId="77777777" w:rsidR="0090718D" w:rsidRPr="005D073E" w:rsidRDefault="0090718D" w:rsidP="005D073E">
    <w:pPr>
      <w:pStyle w:val="Header"/>
    </w:pPr>
    <w:r>
      <w:rPr>
        <w:noProof/>
      </w:rPr>
      <w:drawing>
        <wp:anchor distT="0" distB="0" distL="114300" distR="114300" simplePos="0" relativeHeight="251658240" behindDoc="1" locked="1" layoutInCell="1" allowOverlap="1" wp14:anchorId="4311726E" wp14:editId="0F5FC533">
          <wp:simplePos x="0" y="0"/>
          <wp:positionH relativeFrom="page">
            <wp:align>left</wp:align>
          </wp:positionH>
          <wp:positionV relativeFrom="page">
            <wp:align>top</wp:align>
          </wp:positionV>
          <wp:extent cx="7560000" cy="1659600"/>
          <wp:effectExtent l="0" t="0" r="3175" b="0"/>
          <wp:wrapNone/>
          <wp:docPr id="1107439328" name="Picture 11074393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3"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5" w15:restartNumberingAfterBreak="0">
    <w:nsid w:val="2B40660E"/>
    <w:multiLevelType w:val="hybridMultilevel"/>
    <w:tmpl w:val="E262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93D6C85"/>
    <w:multiLevelType w:val="hybridMultilevel"/>
    <w:tmpl w:val="EAC0632E"/>
    <w:lvl w:ilvl="0" w:tplc="F24040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abstractNum w:abstractNumId="9" w15:restartNumberingAfterBreak="0">
    <w:nsid w:val="7F496585"/>
    <w:multiLevelType w:val="hybridMultilevel"/>
    <w:tmpl w:val="D8B8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196684">
    <w:abstractNumId w:val="4"/>
  </w:num>
  <w:num w:numId="2" w16cid:durableId="1736052327">
    <w:abstractNumId w:val="3"/>
  </w:num>
  <w:num w:numId="3" w16cid:durableId="289432898">
    <w:abstractNumId w:val="2"/>
  </w:num>
  <w:num w:numId="4" w16cid:durableId="300035977">
    <w:abstractNumId w:val="1"/>
  </w:num>
  <w:num w:numId="5" w16cid:durableId="1216890341">
    <w:abstractNumId w:val="0"/>
  </w:num>
  <w:num w:numId="6" w16cid:durableId="1033574508">
    <w:abstractNumId w:val="8"/>
  </w:num>
  <w:num w:numId="7" w16cid:durableId="583808105">
    <w:abstractNumId w:val="6"/>
  </w:num>
  <w:num w:numId="8" w16cid:durableId="1394741601">
    <w:abstractNumId w:val="7"/>
  </w:num>
  <w:num w:numId="9" w16cid:durableId="2024817928">
    <w:abstractNumId w:val="9"/>
  </w:num>
  <w:num w:numId="10" w16cid:durableId="11818909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A"/>
    <w:rsid w:val="00000778"/>
    <w:rsid w:val="00005DFA"/>
    <w:rsid w:val="000069D7"/>
    <w:rsid w:val="00006E52"/>
    <w:rsid w:val="000109DC"/>
    <w:rsid w:val="000113C8"/>
    <w:rsid w:val="0001142B"/>
    <w:rsid w:val="00014EC2"/>
    <w:rsid w:val="00015002"/>
    <w:rsid w:val="000205EB"/>
    <w:rsid w:val="00020E84"/>
    <w:rsid w:val="00026794"/>
    <w:rsid w:val="00031AA9"/>
    <w:rsid w:val="000337A2"/>
    <w:rsid w:val="00036031"/>
    <w:rsid w:val="00041F53"/>
    <w:rsid w:val="00042635"/>
    <w:rsid w:val="00043480"/>
    <w:rsid w:val="00044529"/>
    <w:rsid w:val="00047DEE"/>
    <w:rsid w:val="00053AF0"/>
    <w:rsid w:val="000578CE"/>
    <w:rsid w:val="000608DE"/>
    <w:rsid w:val="00060C67"/>
    <w:rsid w:val="00060FDF"/>
    <w:rsid w:val="00064C5A"/>
    <w:rsid w:val="000678DE"/>
    <w:rsid w:val="000717E6"/>
    <w:rsid w:val="00071D96"/>
    <w:rsid w:val="00074FEC"/>
    <w:rsid w:val="00077782"/>
    <w:rsid w:val="00080825"/>
    <w:rsid w:val="0008454A"/>
    <w:rsid w:val="0008462E"/>
    <w:rsid w:val="00087F86"/>
    <w:rsid w:val="000900F1"/>
    <w:rsid w:val="00091051"/>
    <w:rsid w:val="00091D40"/>
    <w:rsid w:val="0009222C"/>
    <w:rsid w:val="00093B48"/>
    <w:rsid w:val="000A1042"/>
    <w:rsid w:val="000A22A4"/>
    <w:rsid w:val="000A2F13"/>
    <w:rsid w:val="000A40B7"/>
    <w:rsid w:val="000A678B"/>
    <w:rsid w:val="000A7827"/>
    <w:rsid w:val="000B3D0B"/>
    <w:rsid w:val="000B4A37"/>
    <w:rsid w:val="000B678A"/>
    <w:rsid w:val="000B68B9"/>
    <w:rsid w:val="000C04DC"/>
    <w:rsid w:val="000C1CBE"/>
    <w:rsid w:val="000C43E2"/>
    <w:rsid w:val="000C6865"/>
    <w:rsid w:val="000C78D2"/>
    <w:rsid w:val="000D17D7"/>
    <w:rsid w:val="000D1C60"/>
    <w:rsid w:val="000D1F95"/>
    <w:rsid w:val="000D3379"/>
    <w:rsid w:val="000D4F2C"/>
    <w:rsid w:val="000D6691"/>
    <w:rsid w:val="000D6EFE"/>
    <w:rsid w:val="000D7492"/>
    <w:rsid w:val="000D7B49"/>
    <w:rsid w:val="000E13C1"/>
    <w:rsid w:val="000E4FC4"/>
    <w:rsid w:val="000E574D"/>
    <w:rsid w:val="000E6C62"/>
    <w:rsid w:val="000E7ADB"/>
    <w:rsid w:val="000E7C28"/>
    <w:rsid w:val="000F0535"/>
    <w:rsid w:val="000F1C79"/>
    <w:rsid w:val="000F2A82"/>
    <w:rsid w:val="000F2B80"/>
    <w:rsid w:val="000F6BB9"/>
    <w:rsid w:val="001038A5"/>
    <w:rsid w:val="00104E05"/>
    <w:rsid w:val="00111C4A"/>
    <w:rsid w:val="001137BC"/>
    <w:rsid w:val="00113DFC"/>
    <w:rsid w:val="00120AF1"/>
    <w:rsid w:val="00120D7A"/>
    <w:rsid w:val="00121F25"/>
    <w:rsid w:val="00124977"/>
    <w:rsid w:val="00127B18"/>
    <w:rsid w:val="0013020A"/>
    <w:rsid w:val="00132D17"/>
    <w:rsid w:val="00134A08"/>
    <w:rsid w:val="0013527E"/>
    <w:rsid w:val="00135C46"/>
    <w:rsid w:val="00136106"/>
    <w:rsid w:val="00136E69"/>
    <w:rsid w:val="0014407C"/>
    <w:rsid w:val="00150BFC"/>
    <w:rsid w:val="00151CBD"/>
    <w:rsid w:val="00152AC0"/>
    <w:rsid w:val="00156F6C"/>
    <w:rsid w:val="00157DC0"/>
    <w:rsid w:val="001641AB"/>
    <w:rsid w:val="001643FF"/>
    <w:rsid w:val="00165887"/>
    <w:rsid w:val="00173BCD"/>
    <w:rsid w:val="0017509D"/>
    <w:rsid w:val="00175DC7"/>
    <w:rsid w:val="00176C19"/>
    <w:rsid w:val="00177CCA"/>
    <w:rsid w:val="00180630"/>
    <w:rsid w:val="001821F3"/>
    <w:rsid w:val="001837AF"/>
    <w:rsid w:val="001913E2"/>
    <w:rsid w:val="00193992"/>
    <w:rsid w:val="0019564A"/>
    <w:rsid w:val="001A07D4"/>
    <w:rsid w:val="001A1E17"/>
    <w:rsid w:val="001A490D"/>
    <w:rsid w:val="001A7E06"/>
    <w:rsid w:val="001B3002"/>
    <w:rsid w:val="001B3284"/>
    <w:rsid w:val="001B36D4"/>
    <w:rsid w:val="001B3F68"/>
    <w:rsid w:val="001B4DB7"/>
    <w:rsid w:val="001B75EB"/>
    <w:rsid w:val="001B78E9"/>
    <w:rsid w:val="001C0997"/>
    <w:rsid w:val="001C14BA"/>
    <w:rsid w:val="001C25D6"/>
    <w:rsid w:val="001C2C77"/>
    <w:rsid w:val="001C4D92"/>
    <w:rsid w:val="001C62CC"/>
    <w:rsid w:val="001D01EC"/>
    <w:rsid w:val="001D1073"/>
    <w:rsid w:val="001D2696"/>
    <w:rsid w:val="001D2DAF"/>
    <w:rsid w:val="001D5E7D"/>
    <w:rsid w:val="001D7F39"/>
    <w:rsid w:val="001E1E31"/>
    <w:rsid w:val="001E4462"/>
    <w:rsid w:val="001E55E2"/>
    <w:rsid w:val="001F034C"/>
    <w:rsid w:val="001F0537"/>
    <w:rsid w:val="001F242D"/>
    <w:rsid w:val="001F3CD0"/>
    <w:rsid w:val="001F5FE4"/>
    <w:rsid w:val="001F67D1"/>
    <w:rsid w:val="0020083B"/>
    <w:rsid w:val="002009AC"/>
    <w:rsid w:val="00202603"/>
    <w:rsid w:val="0020583F"/>
    <w:rsid w:val="002079C3"/>
    <w:rsid w:val="0022040E"/>
    <w:rsid w:val="00220542"/>
    <w:rsid w:val="002273D9"/>
    <w:rsid w:val="00232381"/>
    <w:rsid w:val="002339E9"/>
    <w:rsid w:val="002344C5"/>
    <w:rsid w:val="00234FD8"/>
    <w:rsid w:val="00240669"/>
    <w:rsid w:val="00240CC5"/>
    <w:rsid w:val="00241542"/>
    <w:rsid w:val="002435F7"/>
    <w:rsid w:val="00244082"/>
    <w:rsid w:val="00247447"/>
    <w:rsid w:val="0024796A"/>
    <w:rsid w:val="00247A0E"/>
    <w:rsid w:val="002505A4"/>
    <w:rsid w:val="002509A8"/>
    <w:rsid w:val="002534FC"/>
    <w:rsid w:val="00253DF2"/>
    <w:rsid w:val="00253F1C"/>
    <w:rsid w:val="00254CB5"/>
    <w:rsid w:val="002574EF"/>
    <w:rsid w:val="00260088"/>
    <w:rsid w:val="002603D1"/>
    <w:rsid w:val="00260EFF"/>
    <w:rsid w:val="00264FE3"/>
    <w:rsid w:val="00265890"/>
    <w:rsid w:val="00267E9F"/>
    <w:rsid w:val="002737A5"/>
    <w:rsid w:val="00274765"/>
    <w:rsid w:val="00274934"/>
    <w:rsid w:val="00276F1F"/>
    <w:rsid w:val="00284724"/>
    <w:rsid w:val="002867BB"/>
    <w:rsid w:val="00291156"/>
    <w:rsid w:val="00291C92"/>
    <w:rsid w:val="00292E5C"/>
    <w:rsid w:val="00293FC9"/>
    <w:rsid w:val="002958CD"/>
    <w:rsid w:val="002A22E0"/>
    <w:rsid w:val="002A28A6"/>
    <w:rsid w:val="002A34C1"/>
    <w:rsid w:val="002A3F59"/>
    <w:rsid w:val="002A51C7"/>
    <w:rsid w:val="002A5AF4"/>
    <w:rsid w:val="002A6386"/>
    <w:rsid w:val="002A699A"/>
    <w:rsid w:val="002A7B22"/>
    <w:rsid w:val="002B2738"/>
    <w:rsid w:val="002B5E02"/>
    <w:rsid w:val="002B70DB"/>
    <w:rsid w:val="002B7557"/>
    <w:rsid w:val="002D5107"/>
    <w:rsid w:val="002D63C5"/>
    <w:rsid w:val="002D6F46"/>
    <w:rsid w:val="002E2A10"/>
    <w:rsid w:val="002E30B2"/>
    <w:rsid w:val="002E50BA"/>
    <w:rsid w:val="002E6BC6"/>
    <w:rsid w:val="002F0048"/>
    <w:rsid w:val="002F2B84"/>
    <w:rsid w:val="002F44BB"/>
    <w:rsid w:val="002F46AA"/>
    <w:rsid w:val="002F5322"/>
    <w:rsid w:val="002F7382"/>
    <w:rsid w:val="003012E3"/>
    <w:rsid w:val="00303200"/>
    <w:rsid w:val="00303623"/>
    <w:rsid w:val="00305173"/>
    <w:rsid w:val="003058F2"/>
    <w:rsid w:val="0031051B"/>
    <w:rsid w:val="0031078C"/>
    <w:rsid w:val="00313F5C"/>
    <w:rsid w:val="00315544"/>
    <w:rsid w:val="003200FC"/>
    <w:rsid w:val="00320AB5"/>
    <w:rsid w:val="003244A7"/>
    <w:rsid w:val="00325558"/>
    <w:rsid w:val="00331696"/>
    <w:rsid w:val="00334C3A"/>
    <w:rsid w:val="00337617"/>
    <w:rsid w:val="0035079A"/>
    <w:rsid w:val="00354D0E"/>
    <w:rsid w:val="00357543"/>
    <w:rsid w:val="00360A81"/>
    <w:rsid w:val="00361E8B"/>
    <w:rsid w:val="003627FB"/>
    <w:rsid w:val="0036421B"/>
    <w:rsid w:val="00364E83"/>
    <w:rsid w:val="00365B21"/>
    <w:rsid w:val="00366DBE"/>
    <w:rsid w:val="003725D5"/>
    <w:rsid w:val="00382928"/>
    <w:rsid w:val="00385270"/>
    <w:rsid w:val="003857D9"/>
    <w:rsid w:val="00391D78"/>
    <w:rsid w:val="00392149"/>
    <w:rsid w:val="00393CEC"/>
    <w:rsid w:val="0039626C"/>
    <w:rsid w:val="003A07C5"/>
    <w:rsid w:val="003A0E1A"/>
    <w:rsid w:val="003A33A6"/>
    <w:rsid w:val="003A3FA6"/>
    <w:rsid w:val="003A4D71"/>
    <w:rsid w:val="003A5635"/>
    <w:rsid w:val="003A6B42"/>
    <w:rsid w:val="003B0912"/>
    <w:rsid w:val="003B0931"/>
    <w:rsid w:val="003B2752"/>
    <w:rsid w:val="003B4FF4"/>
    <w:rsid w:val="003B5D3E"/>
    <w:rsid w:val="003C1C58"/>
    <w:rsid w:val="003C3668"/>
    <w:rsid w:val="003C4571"/>
    <w:rsid w:val="003C5EAC"/>
    <w:rsid w:val="003C6F97"/>
    <w:rsid w:val="003D24DF"/>
    <w:rsid w:val="003D571A"/>
    <w:rsid w:val="003E4B98"/>
    <w:rsid w:val="003E507A"/>
    <w:rsid w:val="003E5FDB"/>
    <w:rsid w:val="003E6AAE"/>
    <w:rsid w:val="003F253D"/>
    <w:rsid w:val="003F623B"/>
    <w:rsid w:val="00404D31"/>
    <w:rsid w:val="0040621B"/>
    <w:rsid w:val="00411024"/>
    <w:rsid w:val="004112FB"/>
    <w:rsid w:val="00412140"/>
    <w:rsid w:val="00414080"/>
    <w:rsid w:val="0041490C"/>
    <w:rsid w:val="00416B5E"/>
    <w:rsid w:val="00421D8C"/>
    <w:rsid w:val="00423500"/>
    <w:rsid w:val="00423CC0"/>
    <w:rsid w:val="0042519D"/>
    <w:rsid w:val="004256B6"/>
    <w:rsid w:val="00426AA8"/>
    <w:rsid w:val="00427F69"/>
    <w:rsid w:val="00434B33"/>
    <w:rsid w:val="00434F59"/>
    <w:rsid w:val="004362E6"/>
    <w:rsid w:val="00441E66"/>
    <w:rsid w:val="0044295F"/>
    <w:rsid w:val="00443CB5"/>
    <w:rsid w:val="00445F92"/>
    <w:rsid w:val="00450FAB"/>
    <w:rsid w:val="00451095"/>
    <w:rsid w:val="00451B1C"/>
    <w:rsid w:val="004523A5"/>
    <w:rsid w:val="00454078"/>
    <w:rsid w:val="004545DE"/>
    <w:rsid w:val="004572D9"/>
    <w:rsid w:val="0045790B"/>
    <w:rsid w:val="00457EAC"/>
    <w:rsid w:val="004615C4"/>
    <w:rsid w:val="004658D1"/>
    <w:rsid w:val="0046729B"/>
    <w:rsid w:val="004706A8"/>
    <w:rsid w:val="00474B20"/>
    <w:rsid w:val="00475132"/>
    <w:rsid w:val="00480DD7"/>
    <w:rsid w:val="004817AD"/>
    <w:rsid w:val="004867CE"/>
    <w:rsid w:val="004871DE"/>
    <w:rsid w:val="0049013D"/>
    <w:rsid w:val="004923DA"/>
    <w:rsid w:val="00492735"/>
    <w:rsid w:val="00492BFE"/>
    <w:rsid w:val="004934E8"/>
    <w:rsid w:val="00493C58"/>
    <w:rsid w:val="00493FDA"/>
    <w:rsid w:val="00494DB3"/>
    <w:rsid w:val="00494E1C"/>
    <w:rsid w:val="00495BE7"/>
    <w:rsid w:val="004978D8"/>
    <w:rsid w:val="00497916"/>
    <w:rsid w:val="00497CB5"/>
    <w:rsid w:val="00497EB6"/>
    <w:rsid w:val="004A3AA5"/>
    <w:rsid w:val="004A6A24"/>
    <w:rsid w:val="004A6CE1"/>
    <w:rsid w:val="004B3D58"/>
    <w:rsid w:val="004B4B6B"/>
    <w:rsid w:val="004C1762"/>
    <w:rsid w:val="004C43C3"/>
    <w:rsid w:val="004C4C50"/>
    <w:rsid w:val="004C70EB"/>
    <w:rsid w:val="004C7A6F"/>
    <w:rsid w:val="004C7BFB"/>
    <w:rsid w:val="004D004D"/>
    <w:rsid w:val="004D1912"/>
    <w:rsid w:val="004D1C99"/>
    <w:rsid w:val="004D3774"/>
    <w:rsid w:val="004D55FB"/>
    <w:rsid w:val="004D6CB9"/>
    <w:rsid w:val="004E07A4"/>
    <w:rsid w:val="004E094D"/>
    <w:rsid w:val="004E1684"/>
    <w:rsid w:val="004E1C48"/>
    <w:rsid w:val="004E31E9"/>
    <w:rsid w:val="004E533B"/>
    <w:rsid w:val="004E631E"/>
    <w:rsid w:val="004E6571"/>
    <w:rsid w:val="004E6961"/>
    <w:rsid w:val="004F2DD4"/>
    <w:rsid w:val="004F32C8"/>
    <w:rsid w:val="004F51DA"/>
    <w:rsid w:val="004F679F"/>
    <w:rsid w:val="004F7721"/>
    <w:rsid w:val="004F7D3A"/>
    <w:rsid w:val="00500F24"/>
    <w:rsid w:val="00503225"/>
    <w:rsid w:val="00505DAC"/>
    <w:rsid w:val="005063AE"/>
    <w:rsid w:val="00507622"/>
    <w:rsid w:val="00511FE4"/>
    <w:rsid w:val="00512D01"/>
    <w:rsid w:val="005131E4"/>
    <w:rsid w:val="00514801"/>
    <w:rsid w:val="00514DD3"/>
    <w:rsid w:val="00515E3C"/>
    <w:rsid w:val="00516A97"/>
    <w:rsid w:val="005172CE"/>
    <w:rsid w:val="005177D7"/>
    <w:rsid w:val="00520FFC"/>
    <w:rsid w:val="0052142D"/>
    <w:rsid w:val="005315E1"/>
    <w:rsid w:val="00533EE7"/>
    <w:rsid w:val="00535520"/>
    <w:rsid w:val="005356C9"/>
    <w:rsid w:val="0053639E"/>
    <w:rsid w:val="00536B8C"/>
    <w:rsid w:val="00542056"/>
    <w:rsid w:val="005446CF"/>
    <w:rsid w:val="0055077D"/>
    <w:rsid w:val="0055272C"/>
    <w:rsid w:val="00554336"/>
    <w:rsid w:val="0055561C"/>
    <w:rsid w:val="005601BB"/>
    <w:rsid w:val="00560271"/>
    <w:rsid w:val="00564A12"/>
    <w:rsid w:val="0056530E"/>
    <w:rsid w:val="005657EA"/>
    <w:rsid w:val="00566596"/>
    <w:rsid w:val="00566D08"/>
    <w:rsid w:val="00567195"/>
    <w:rsid w:val="00570AF4"/>
    <w:rsid w:val="00571D22"/>
    <w:rsid w:val="00571D3C"/>
    <w:rsid w:val="00573373"/>
    <w:rsid w:val="00573DAC"/>
    <w:rsid w:val="00577A7B"/>
    <w:rsid w:val="00582F75"/>
    <w:rsid w:val="0058316B"/>
    <w:rsid w:val="00583842"/>
    <w:rsid w:val="00586DB4"/>
    <w:rsid w:val="00587A69"/>
    <w:rsid w:val="005906E7"/>
    <w:rsid w:val="00591434"/>
    <w:rsid w:val="00594F7F"/>
    <w:rsid w:val="00596A63"/>
    <w:rsid w:val="005A18C3"/>
    <w:rsid w:val="005A3614"/>
    <w:rsid w:val="005A5D2B"/>
    <w:rsid w:val="005B0A78"/>
    <w:rsid w:val="005B0EE4"/>
    <w:rsid w:val="005C2B20"/>
    <w:rsid w:val="005C5BBB"/>
    <w:rsid w:val="005D073E"/>
    <w:rsid w:val="005D1CEC"/>
    <w:rsid w:val="005D3223"/>
    <w:rsid w:val="005D644C"/>
    <w:rsid w:val="005D7B0E"/>
    <w:rsid w:val="005D7EAA"/>
    <w:rsid w:val="005D7F12"/>
    <w:rsid w:val="005E29DB"/>
    <w:rsid w:val="005E2E99"/>
    <w:rsid w:val="005E5032"/>
    <w:rsid w:val="005E5F37"/>
    <w:rsid w:val="005E642B"/>
    <w:rsid w:val="005E73A2"/>
    <w:rsid w:val="005E750F"/>
    <w:rsid w:val="005E76BE"/>
    <w:rsid w:val="005E7918"/>
    <w:rsid w:val="005F0870"/>
    <w:rsid w:val="005F1626"/>
    <w:rsid w:val="005F1674"/>
    <w:rsid w:val="005F2F95"/>
    <w:rsid w:val="005F3A98"/>
    <w:rsid w:val="005F490B"/>
    <w:rsid w:val="005F4E25"/>
    <w:rsid w:val="00600587"/>
    <w:rsid w:val="00604064"/>
    <w:rsid w:val="00606C86"/>
    <w:rsid w:val="00607D4B"/>
    <w:rsid w:val="006102D1"/>
    <w:rsid w:val="00611821"/>
    <w:rsid w:val="00611F35"/>
    <w:rsid w:val="00611FC4"/>
    <w:rsid w:val="00612331"/>
    <w:rsid w:val="006126BD"/>
    <w:rsid w:val="00612750"/>
    <w:rsid w:val="00615832"/>
    <w:rsid w:val="00616158"/>
    <w:rsid w:val="00617AB1"/>
    <w:rsid w:val="00621A3E"/>
    <w:rsid w:val="00623CEC"/>
    <w:rsid w:val="00627E01"/>
    <w:rsid w:val="00634B39"/>
    <w:rsid w:val="00637DBE"/>
    <w:rsid w:val="00640E55"/>
    <w:rsid w:val="00642545"/>
    <w:rsid w:val="0064424F"/>
    <w:rsid w:val="0064570E"/>
    <w:rsid w:val="00650430"/>
    <w:rsid w:val="00650DB4"/>
    <w:rsid w:val="0065149E"/>
    <w:rsid w:val="0065246C"/>
    <w:rsid w:val="006524C9"/>
    <w:rsid w:val="00656326"/>
    <w:rsid w:val="006564A0"/>
    <w:rsid w:val="00657AEA"/>
    <w:rsid w:val="00660B53"/>
    <w:rsid w:val="00661505"/>
    <w:rsid w:val="00661936"/>
    <w:rsid w:val="00667421"/>
    <w:rsid w:val="00670146"/>
    <w:rsid w:val="00671A32"/>
    <w:rsid w:val="00674CAD"/>
    <w:rsid w:val="006768A5"/>
    <w:rsid w:val="006772D8"/>
    <w:rsid w:val="006776C5"/>
    <w:rsid w:val="00680E7B"/>
    <w:rsid w:val="0068225B"/>
    <w:rsid w:val="006854BC"/>
    <w:rsid w:val="0068591D"/>
    <w:rsid w:val="0069111B"/>
    <w:rsid w:val="00691D02"/>
    <w:rsid w:val="006936A3"/>
    <w:rsid w:val="006942BE"/>
    <w:rsid w:val="006A14F7"/>
    <w:rsid w:val="006A1791"/>
    <w:rsid w:val="006A239B"/>
    <w:rsid w:val="006A3949"/>
    <w:rsid w:val="006B20F6"/>
    <w:rsid w:val="006B57CA"/>
    <w:rsid w:val="006B5E8E"/>
    <w:rsid w:val="006C106F"/>
    <w:rsid w:val="006C2166"/>
    <w:rsid w:val="006C3359"/>
    <w:rsid w:val="006C3F80"/>
    <w:rsid w:val="006C4028"/>
    <w:rsid w:val="006C4C78"/>
    <w:rsid w:val="006C4D5D"/>
    <w:rsid w:val="006C5E87"/>
    <w:rsid w:val="006C6F5B"/>
    <w:rsid w:val="006D75F7"/>
    <w:rsid w:val="006D7C5E"/>
    <w:rsid w:val="006E0CC6"/>
    <w:rsid w:val="006E2852"/>
    <w:rsid w:val="006E3BCE"/>
    <w:rsid w:val="006E5FFB"/>
    <w:rsid w:val="006E6410"/>
    <w:rsid w:val="006F06E7"/>
    <w:rsid w:val="006F131D"/>
    <w:rsid w:val="006F20B5"/>
    <w:rsid w:val="006F2296"/>
    <w:rsid w:val="006F276F"/>
    <w:rsid w:val="006F2EDF"/>
    <w:rsid w:val="006F4631"/>
    <w:rsid w:val="006F4CF2"/>
    <w:rsid w:val="006F5668"/>
    <w:rsid w:val="007015E8"/>
    <w:rsid w:val="00703ED9"/>
    <w:rsid w:val="0070551C"/>
    <w:rsid w:val="00705578"/>
    <w:rsid w:val="0070769D"/>
    <w:rsid w:val="007111BF"/>
    <w:rsid w:val="00711513"/>
    <w:rsid w:val="007150BC"/>
    <w:rsid w:val="007218D7"/>
    <w:rsid w:val="00722372"/>
    <w:rsid w:val="00722B5A"/>
    <w:rsid w:val="00736146"/>
    <w:rsid w:val="007462E1"/>
    <w:rsid w:val="00746408"/>
    <w:rsid w:val="007479FD"/>
    <w:rsid w:val="0075588C"/>
    <w:rsid w:val="0075719F"/>
    <w:rsid w:val="0076012D"/>
    <w:rsid w:val="007606E2"/>
    <w:rsid w:val="00760E99"/>
    <w:rsid w:val="00766849"/>
    <w:rsid w:val="00766BDD"/>
    <w:rsid w:val="00766DFE"/>
    <w:rsid w:val="00770507"/>
    <w:rsid w:val="007766B9"/>
    <w:rsid w:val="00780CBF"/>
    <w:rsid w:val="007810CB"/>
    <w:rsid w:val="00783AF7"/>
    <w:rsid w:val="00784983"/>
    <w:rsid w:val="00784DEF"/>
    <w:rsid w:val="00796DE2"/>
    <w:rsid w:val="007A2273"/>
    <w:rsid w:val="007A3141"/>
    <w:rsid w:val="007A39BF"/>
    <w:rsid w:val="007A7D61"/>
    <w:rsid w:val="007B5928"/>
    <w:rsid w:val="007C077C"/>
    <w:rsid w:val="007C2A40"/>
    <w:rsid w:val="007C2E13"/>
    <w:rsid w:val="007C2FFF"/>
    <w:rsid w:val="007C3AC2"/>
    <w:rsid w:val="007C406A"/>
    <w:rsid w:val="007C5A7B"/>
    <w:rsid w:val="007C6C6A"/>
    <w:rsid w:val="007D0114"/>
    <w:rsid w:val="007D1B02"/>
    <w:rsid w:val="007E0FF3"/>
    <w:rsid w:val="007E1140"/>
    <w:rsid w:val="007E2074"/>
    <w:rsid w:val="007E2412"/>
    <w:rsid w:val="007E3564"/>
    <w:rsid w:val="007E3E82"/>
    <w:rsid w:val="007E5D59"/>
    <w:rsid w:val="007E7558"/>
    <w:rsid w:val="007F0469"/>
    <w:rsid w:val="007F0953"/>
    <w:rsid w:val="007F0F46"/>
    <w:rsid w:val="007F4093"/>
    <w:rsid w:val="007F5767"/>
    <w:rsid w:val="007F662A"/>
    <w:rsid w:val="007F7A46"/>
    <w:rsid w:val="007F7C80"/>
    <w:rsid w:val="00800587"/>
    <w:rsid w:val="00802222"/>
    <w:rsid w:val="00803553"/>
    <w:rsid w:val="008053BC"/>
    <w:rsid w:val="00815EB6"/>
    <w:rsid w:val="0082049B"/>
    <w:rsid w:val="00821728"/>
    <w:rsid w:val="00821E9B"/>
    <w:rsid w:val="00824634"/>
    <w:rsid w:val="008257A1"/>
    <w:rsid w:val="00826938"/>
    <w:rsid w:val="0083041D"/>
    <w:rsid w:val="00830BA9"/>
    <w:rsid w:val="00831607"/>
    <w:rsid w:val="0083197E"/>
    <w:rsid w:val="00832099"/>
    <w:rsid w:val="008335AB"/>
    <w:rsid w:val="00835588"/>
    <w:rsid w:val="00841E09"/>
    <w:rsid w:val="0084430D"/>
    <w:rsid w:val="00844800"/>
    <w:rsid w:val="00845CB5"/>
    <w:rsid w:val="0084715D"/>
    <w:rsid w:val="00851DA7"/>
    <w:rsid w:val="00852DF7"/>
    <w:rsid w:val="00853CC5"/>
    <w:rsid w:val="00854AE4"/>
    <w:rsid w:val="00855C85"/>
    <w:rsid w:val="00855D7C"/>
    <w:rsid w:val="008577E8"/>
    <w:rsid w:val="00871108"/>
    <w:rsid w:val="00874C51"/>
    <w:rsid w:val="00875DB3"/>
    <w:rsid w:val="008761C4"/>
    <w:rsid w:val="00881D34"/>
    <w:rsid w:val="00882733"/>
    <w:rsid w:val="008830DB"/>
    <w:rsid w:val="00884EB8"/>
    <w:rsid w:val="00887767"/>
    <w:rsid w:val="0089164E"/>
    <w:rsid w:val="00891B4C"/>
    <w:rsid w:val="0089266B"/>
    <w:rsid w:val="00895206"/>
    <w:rsid w:val="00896FB3"/>
    <w:rsid w:val="008A323F"/>
    <w:rsid w:val="008A44D5"/>
    <w:rsid w:val="008A635D"/>
    <w:rsid w:val="008B0137"/>
    <w:rsid w:val="008B2654"/>
    <w:rsid w:val="008B4D0A"/>
    <w:rsid w:val="008B4F6A"/>
    <w:rsid w:val="008B50D5"/>
    <w:rsid w:val="008B6502"/>
    <w:rsid w:val="008B66E7"/>
    <w:rsid w:val="008B713D"/>
    <w:rsid w:val="008C5A7C"/>
    <w:rsid w:val="008D1106"/>
    <w:rsid w:val="008D1A56"/>
    <w:rsid w:val="008D2DFE"/>
    <w:rsid w:val="008D4F90"/>
    <w:rsid w:val="008E2FCE"/>
    <w:rsid w:val="008E4759"/>
    <w:rsid w:val="008E7A39"/>
    <w:rsid w:val="008F222C"/>
    <w:rsid w:val="008F6FD3"/>
    <w:rsid w:val="00904D26"/>
    <w:rsid w:val="0090718D"/>
    <w:rsid w:val="00910153"/>
    <w:rsid w:val="00914D09"/>
    <w:rsid w:val="00917891"/>
    <w:rsid w:val="00920C8E"/>
    <w:rsid w:val="009224D9"/>
    <w:rsid w:val="00922F84"/>
    <w:rsid w:val="009237C0"/>
    <w:rsid w:val="00927191"/>
    <w:rsid w:val="0093223F"/>
    <w:rsid w:val="00933F5A"/>
    <w:rsid w:val="00934F70"/>
    <w:rsid w:val="009360B7"/>
    <w:rsid w:val="009371C8"/>
    <w:rsid w:val="00940ABD"/>
    <w:rsid w:val="00943771"/>
    <w:rsid w:val="00943B08"/>
    <w:rsid w:val="00946260"/>
    <w:rsid w:val="00946FD8"/>
    <w:rsid w:val="00952397"/>
    <w:rsid w:val="00956C82"/>
    <w:rsid w:val="009574C1"/>
    <w:rsid w:val="009630B4"/>
    <w:rsid w:val="009645B0"/>
    <w:rsid w:val="00966519"/>
    <w:rsid w:val="009718CC"/>
    <w:rsid w:val="009728B1"/>
    <w:rsid w:val="00972AD8"/>
    <w:rsid w:val="009732CB"/>
    <w:rsid w:val="00975B15"/>
    <w:rsid w:val="0098245A"/>
    <w:rsid w:val="00990BE1"/>
    <w:rsid w:val="00994478"/>
    <w:rsid w:val="00996C52"/>
    <w:rsid w:val="00997ED8"/>
    <w:rsid w:val="009A243B"/>
    <w:rsid w:val="009A4074"/>
    <w:rsid w:val="009A469B"/>
    <w:rsid w:val="009A533A"/>
    <w:rsid w:val="009A617A"/>
    <w:rsid w:val="009A6AFC"/>
    <w:rsid w:val="009A792D"/>
    <w:rsid w:val="009B223B"/>
    <w:rsid w:val="009B45C2"/>
    <w:rsid w:val="009B47A7"/>
    <w:rsid w:val="009B58FC"/>
    <w:rsid w:val="009B648C"/>
    <w:rsid w:val="009B70AA"/>
    <w:rsid w:val="009B7F3B"/>
    <w:rsid w:val="009C000F"/>
    <w:rsid w:val="009C1F08"/>
    <w:rsid w:val="009C22BC"/>
    <w:rsid w:val="009C392D"/>
    <w:rsid w:val="009D3270"/>
    <w:rsid w:val="009D3AA0"/>
    <w:rsid w:val="009D3D15"/>
    <w:rsid w:val="009D4524"/>
    <w:rsid w:val="009D568C"/>
    <w:rsid w:val="009D61AD"/>
    <w:rsid w:val="009E186F"/>
    <w:rsid w:val="009E1E48"/>
    <w:rsid w:val="009E35F7"/>
    <w:rsid w:val="009E3AA4"/>
    <w:rsid w:val="009E75C3"/>
    <w:rsid w:val="009F2559"/>
    <w:rsid w:val="009F5A95"/>
    <w:rsid w:val="00A007BF"/>
    <w:rsid w:val="00A02DB5"/>
    <w:rsid w:val="00A02F22"/>
    <w:rsid w:val="00A04532"/>
    <w:rsid w:val="00A1012A"/>
    <w:rsid w:val="00A1039E"/>
    <w:rsid w:val="00A12487"/>
    <w:rsid w:val="00A124F3"/>
    <w:rsid w:val="00A176A2"/>
    <w:rsid w:val="00A2596A"/>
    <w:rsid w:val="00A26E37"/>
    <w:rsid w:val="00A314B8"/>
    <w:rsid w:val="00A3466F"/>
    <w:rsid w:val="00A35E62"/>
    <w:rsid w:val="00A37453"/>
    <w:rsid w:val="00A432D4"/>
    <w:rsid w:val="00A47554"/>
    <w:rsid w:val="00A47758"/>
    <w:rsid w:val="00A47A1E"/>
    <w:rsid w:val="00A5002A"/>
    <w:rsid w:val="00A508F8"/>
    <w:rsid w:val="00A515D4"/>
    <w:rsid w:val="00A52073"/>
    <w:rsid w:val="00A5242D"/>
    <w:rsid w:val="00A52EFD"/>
    <w:rsid w:val="00A5358E"/>
    <w:rsid w:val="00A53B68"/>
    <w:rsid w:val="00A56D3F"/>
    <w:rsid w:val="00A6575E"/>
    <w:rsid w:val="00A6614A"/>
    <w:rsid w:val="00A67A25"/>
    <w:rsid w:val="00A74283"/>
    <w:rsid w:val="00A74EC5"/>
    <w:rsid w:val="00A87B68"/>
    <w:rsid w:val="00A920D3"/>
    <w:rsid w:val="00A93141"/>
    <w:rsid w:val="00A93F77"/>
    <w:rsid w:val="00A96BAA"/>
    <w:rsid w:val="00AA0EC0"/>
    <w:rsid w:val="00AA2B15"/>
    <w:rsid w:val="00AA2F38"/>
    <w:rsid w:val="00AA3FA4"/>
    <w:rsid w:val="00AA578B"/>
    <w:rsid w:val="00AB298E"/>
    <w:rsid w:val="00AB4B02"/>
    <w:rsid w:val="00AB6A00"/>
    <w:rsid w:val="00AC4007"/>
    <w:rsid w:val="00AC6F27"/>
    <w:rsid w:val="00AD4E34"/>
    <w:rsid w:val="00AD6C4F"/>
    <w:rsid w:val="00AD7C11"/>
    <w:rsid w:val="00AE0C3D"/>
    <w:rsid w:val="00AE0DA0"/>
    <w:rsid w:val="00AE2972"/>
    <w:rsid w:val="00AE6017"/>
    <w:rsid w:val="00AE6A4A"/>
    <w:rsid w:val="00AF3308"/>
    <w:rsid w:val="00AF3B01"/>
    <w:rsid w:val="00AF3BBC"/>
    <w:rsid w:val="00AF3F74"/>
    <w:rsid w:val="00AF5211"/>
    <w:rsid w:val="00AF59E5"/>
    <w:rsid w:val="00AF5CF5"/>
    <w:rsid w:val="00B0095D"/>
    <w:rsid w:val="00B01995"/>
    <w:rsid w:val="00B01B9F"/>
    <w:rsid w:val="00B03D35"/>
    <w:rsid w:val="00B04FDB"/>
    <w:rsid w:val="00B06571"/>
    <w:rsid w:val="00B07057"/>
    <w:rsid w:val="00B07BB4"/>
    <w:rsid w:val="00B10F72"/>
    <w:rsid w:val="00B13BB3"/>
    <w:rsid w:val="00B2369F"/>
    <w:rsid w:val="00B23E89"/>
    <w:rsid w:val="00B2649C"/>
    <w:rsid w:val="00B275F4"/>
    <w:rsid w:val="00B3185E"/>
    <w:rsid w:val="00B320AB"/>
    <w:rsid w:val="00B32FE2"/>
    <w:rsid w:val="00B37BA6"/>
    <w:rsid w:val="00B408C0"/>
    <w:rsid w:val="00B4314F"/>
    <w:rsid w:val="00B449F0"/>
    <w:rsid w:val="00B460F1"/>
    <w:rsid w:val="00B463E6"/>
    <w:rsid w:val="00B518A1"/>
    <w:rsid w:val="00B522E6"/>
    <w:rsid w:val="00B56863"/>
    <w:rsid w:val="00B63EF9"/>
    <w:rsid w:val="00B641E3"/>
    <w:rsid w:val="00B64FCA"/>
    <w:rsid w:val="00B75C23"/>
    <w:rsid w:val="00B76E2F"/>
    <w:rsid w:val="00B77326"/>
    <w:rsid w:val="00B77F3B"/>
    <w:rsid w:val="00B81AA6"/>
    <w:rsid w:val="00B82F85"/>
    <w:rsid w:val="00B86CE7"/>
    <w:rsid w:val="00B86FD9"/>
    <w:rsid w:val="00B918EC"/>
    <w:rsid w:val="00B91B9D"/>
    <w:rsid w:val="00B95470"/>
    <w:rsid w:val="00B96095"/>
    <w:rsid w:val="00B961BF"/>
    <w:rsid w:val="00BA1608"/>
    <w:rsid w:val="00BA3866"/>
    <w:rsid w:val="00BA5AC7"/>
    <w:rsid w:val="00BA5E3F"/>
    <w:rsid w:val="00BA6F57"/>
    <w:rsid w:val="00BA7208"/>
    <w:rsid w:val="00BB03C9"/>
    <w:rsid w:val="00BB3F26"/>
    <w:rsid w:val="00BB40D3"/>
    <w:rsid w:val="00BB5D38"/>
    <w:rsid w:val="00BC0ECB"/>
    <w:rsid w:val="00BC7077"/>
    <w:rsid w:val="00BC724B"/>
    <w:rsid w:val="00BD1EDE"/>
    <w:rsid w:val="00BD358D"/>
    <w:rsid w:val="00BD7B99"/>
    <w:rsid w:val="00BE1F82"/>
    <w:rsid w:val="00BE3162"/>
    <w:rsid w:val="00BE3C53"/>
    <w:rsid w:val="00BE45CF"/>
    <w:rsid w:val="00BE6422"/>
    <w:rsid w:val="00BF0BD0"/>
    <w:rsid w:val="00BF141E"/>
    <w:rsid w:val="00BF1F32"/>
    <w:rsid w:val="00BF295A"/>
    <w:rsid w:val="00BF4CE0"/>
    <w:rsid w:val="00BF5891"/>
    <w:rsid w:val="00C03A93"/>
    <w:rsid w:val="00C05698"/>
    <w:rsid w:val="00C130C7"/>
    <w:rsid w:val="00C13A6F"/>
    <w:rsid w:val="00C1734A"/>
    <w:rsid w:val="00C176B2"/>
    <w:rsid w:val="00C222C7"/>
    <w:rsid w:val="00C22545"/>
    <w:rsid w:val="00C22EC7"/>
    <w:rsid w:val="00C2671B"/>
    <w:rsid w:val="00C30C64"/>
    <w:rsid w:val="00C30F89"/>
    <w:rsid w:val="00C35295"/>
    <w:rsid w:val="00C3703D"/>
    <w:rsid w:val="00C37BCA"/>
    <w:rsid w:val="00C4000F"/>
    <w:rsid w:val="00C404FE"/>
    <w:rsid w:val="00C40EAB"/>
    <w:rsid w:val="00C45C9D"/>
    <w:rsid w:val="00C45DC4"/>
    <w:rsid w:val="00C46E4E"/>
    <w:rsid w:val="00C4757E"/>
    <w:rsid w:val="00C4786F"/>
    <w:rsid w:val="00C53134"/>
    <w:rsid w:val="00C61CD3"/>
    <w:rsid w:val="00C6409E"/>
    <w:rsid w:val="00C65691"/>
    <w:rsid w:val="00C67F5F"/>
    <w:rsid w:val="00C72E9C"/>
    <w:rsid w:val="00C74F32"/>
    <w:rsid w:val="00C81CF9"/>
    <w:rsid w:val="00C840F3"/>
    <w:rsid w:val="00C86F8F"/>
    <w:rsid w:val="00C87298"/>
    <w:rsid w:val="00C9025C"/>
    <w:rsid w:val="00C9183E"/>
    <w:rsid w:val="00C92EDE"/>
    <w:rsid w:val="00C93B0A"/>
    <w:rsid w:val="00C946F6"/>
    <w:rsid w:val="00C969BD"/>
    <w:rsid w:val="00CA2B45"/>
    <w:rsid w:val="00CB2165"/>
    <w:rsid w:val="00CB2680"/>
    <w:rsid w:val="00CB4C83"/>
    <w:rsid w:val="00CC58A2"/>
    <w:rsid w:val="00CD14F0"/>
    <w:rsid w:val="00CD379E"/>
    <w:rsid w:val="00CD5213"/>
    <w:rsid w:val="00CE1600"/>
    <w:rsid w:val="00CE37DA"/>
    <w:rsid w:val="00CF0482"/>
    <w:rsid w:val="00CF317E"/>
    <w:rsid w:val="00D00E6C"/>
    <w:rsid w:val="00D02827"/>
    <w:rsid w:val="00D02F5C"/>
    <w:rsid w:val="00D05CBD"/>
    <w:rsid w:val="00D1184B"/>
    <w:rsid w:val="00D11BB2"/>
    <w:rsid w:val="00D12136"/>
    <w:rsid w:val="00D155DA"/>
    <w:rsid w:val="00D16C04"/>
    <w:rsid w:val="00D20463"/>
    <w:rsid w:val="00D20EB0"/>
    <w:rsid w:val="00D2143A"/>
    <w:rsid w:val="00D217C8"/>
    <w:rsid w:val="00D236C8"/>
    <w:rsid w:val="00D44055"/>
    <w:rsid w:val="00D452A3"/>
    <w:rsid w:val="00D50359"/>
    <w:rsid w:val="00D52510"/>
    <w:rsid w:val="00D54F4D"/>
    <w:rsid w:val="00D554E0"/>
    <w:rsid w:val="00D55A18"/>
    <w:rsid w:val="00D5601B"/>
    <w:rsid w:val="00D611FE"/>
    <w:rsid w:val="00D64525"/>
    <w:rsid w:val="00D777FA"/>
    <w:rsid w:val="00D85A09"/>
    <w:rsid w:val="00D865E2"/>
    <w:rsid w:val="00D901AF"/>
    <w:rsid w:val="00D914C5"/>
    <w:rsid w:val="00D94C54"/>
    <w:rsid w:val="00D96B03"/>
    <w:rsid w:val="00D9772F"/>
    <w:rsid w:val="00DA2735"/>
    <w:rsid w:val="00DA5A2E"/>
    <w:rsid w:val="00DA6439"/>
    <w:rsid w:val="00DB2BEC"/>
    <w:rsid w:val="00DB3E94"/>
    <w:rsid w:val="00DB5D3A"/>
    <w:rsid w:val="00DB724A"/>
    <w:rsid w:val="00DC1C1C"/>
    <w:rsid w:val="00DC2869"/>
    <w:rsid w:val="00DC4DEB"/>
    <w:rsid w:val="00DC66D0"/>
    <w:rsid w:val="00DD13EC"/>
    <w:rsid w:val="00DD167D"/>
    <w:rsid w:val="00DD1B66"/>
    <w:rsid w:val="00DD1C86"/>
    <w:rsid w:val="00DD3CFE"/>
    <w:rsid w:val="00DD5348"/>
    <w:rsid w:val="00DD62BF"/>
    <w:rsid w:val="00DE0EA9"/>
    <w:rsid w:val="00DE3040"/>
    <w:rsid w:val="00DE3BE2"/>
    <w:rsid w:val="00DE4A0E"/>
    <w:rsid w:val="00DE5E13"/>
    <w:rsid w:val="00DF05A4"/>
    <w:rsid w:val="00DF05D3"/>
    <w:rsid w:val="00DF1D97"/>
    <w:rsid w:val="00DF2614"/>
    <w:rsid w:val="00DF4C37"/>
    <w:rsid w:val="00E03F42"/>
    <w:rsid w:val="00E04362"/>
    <w:rsid w:val="00E10228"/>
    <w:rsid w:val="00E11BCE"/>
    <w:rsid w:val="00E1506D"/>
    <w:rsid w:val="00E15856"/>
    <w:rsid w:val="00E179F9"/>
    <w:rsid w:val="00E2140B"/>
    <w:rsid w:val="00E2190F"/>
    <w:rsid w:val="00E2586A"/>
    <w:rsid w:val="00E26951"/>
    <w:rsid w:val="00E27565"/>
    <w:rsid w:val="00E3003D"/>
    <w:rsid w:val="00E30D24"/>
    <w:rsid w:val="00E31982"/>
    <w:rsid w:val="00E32D96"/>
    <w:rsid w:val="00E37DC6"/>
    <w:rsid w:val="00E408A8"/>
    <w:rsid w:val="00E455B7"/>
    <w:rsid w:val="00E4613A"/>
    <w:rsid w:val="00E465D9"/>
    <w:rsid w:val="00E47505"/>
    <w:rsid w:val="00E47EC6"/>
    <w:rsid w:val="00E52B37"/>
    <w:rsid w:val="00E555A0"/>
    <w:rsid w:val="00E625F5"/>
    <w:rsid w:val="00E635DA"/>
    <w:rsid w:val="00E654F2"/>
    <w:rsid w:val="00E84C5D"/>
    <w:rsid w:val="00E8713F"/>
    <w:rsid w:val="00E87EFF"/>
    <w:rsid w:val="00E904CF"/>
    <w:rsid w:val="00E90EBA"/>
    <w:rsid w:val="00E92366"/>
    <w:rsid w:val="00E952BE"/>
    <w:rsid w:val="00E956BA"/>
    <w:rsid w:val="00E97B2A"/>
    <w:rsid w:val="00E97EBF"/>
    <w:rsid w:val="00EA614C"/>
    <w:rsid w:val="00EA70AF"/>
    <w:rsid w:val="00EB0451"/>
    <w:rsid w:val="00EB2899"/>
    <w:rsid w:val="00EC0E03"/>
    <w:rsid w:val="00EC1052"/>
    <w:rsid w:val="00EC1896"/>
    <w:rsid w:val="00EC3D49"/>
    <w:rsid w:val="00EC4784"/>
    <w:rsid w:val="00EC4DB3"/>
    <w:rsid w:val="00EC4E2E"/>
    <w:rsid w:val="00EC4F7C"/>
    <w:rsid w:val="00EC66CC"/>
    <w:rsid w:val="00ED3C4D"/>
    <w:rsid w:val="00ED3F03"/>
    <w:rsid w:val="00ED58AE"/>
    <w:rsid w:val="00EE464A"/>
    <w:rsid w:val="00EE672D"/>
    <w:rsid w:val="00EF3678"/>
    <w:rsid w:val="00EF381B"/>
    <w:rsid w:val="00EF7C35"/>
    <w:rsid w:val="00F0138F"/>
    <w:rsid w:val="00F017E2"/>
    <w:rsid w:val="00F02B7E"/>
    <w:rsid w:val="00F02E9C"/>
    <w:rsid w:val="00F0314E"/>
    <w:rsid w:val="00F0379A"/>
    <w:rsid w:val="00F03AF9"/>
    <w:rsid w:val="00F03D2A"/>
    <w:rsid w:val="00F11169"/>
    <w:rsid w:val="00F11D4B"/>
    <w:rsid w:val="00F12BE7"/>
    <w:rsid w:val="00F15872"/>
    <w:rsid w:val="00F225C9"/>
    <w:rsid w:val="00F2281D"/>
    <w:rsid w:val="00F23CA3"/>
    <w:rsid w:val="00F24D35"/>
    <w:rsid w:val="00F253A3"/>
    <w:rsid w:val="00F27166"/>
    <w:rsid w:val="00F320D8"/>
    <w:rsid w:val="00F36C4D"/>
    <w:rsid w:val="00F370DC"/>
    <w:rsid w:val="00F37861"/>
    <w:rsid w:val="00F37D37"/>
    <w:rsid w:val="00F436A9"/>
    <w:rsid w:val="00F44EE7"/>
    <w:rsid w:val="00F461BA"/>
    <w:rsid w:val="00F5004E"/>
    <w:rsid w:val="00F51545"/>
    <w:rsid w:val="00F547A1"/>
    <w:rsid w:val="00F54D73"/>
    <w:rsid w:val="00F556B9"/>
    <w:rsid w:val="00F569B2"/>
    <w:rsid w:val="00F571E2"/>
    <w:rsid w:val="00F60BC2"/>
    <w:rsid w:val="00F61257"/>
    <w:rsid w:val="00F63BF1"/>
    <w:rsid w:val="00F64730"/>
    <w:rsid w:val="00F6477F"/>
    <w:rsid w:val="00F64C7D"/>
    <w:rsid w:val="00F64D3D"/>
    <w:rsid w:val="00F64E44"/>
    <w:rsid w:val="00F650A6"/>
    <w:rsid w:val="00F70145"/>
    <w:rsid w:val="00F723C3"/>
    <w:rsid w:val="00F72612"/>
    <w:rsid w:val="00F7666D"/>
    <w:rsid w:val="00F76E76"/>
    <w:rsid w:val="00F83ECE"/>
    <w:rsid w:val="00F83F2F"/>
    <w:rsid w:val="00F86F6E"/>
    <w:rsid w:val="00F918DE"/>
    <w:rsid w:val="00F9299C"/>
    <w:rsid w:val="00F93AE8"/>
    <w:rsid w:val="00F947C7"/>
    <w:rsid w:val="00F94E96"/>
    <w:rsid w:val="00F94F21"/>
    <w:rsid w:val="00F95039"/>
    <w:rsid w:val="00F9704B"/>
    <w:rsid w:val="00F975F5"/>
    <w:rsid w:val="00FA2A0D"/>
    <w:rsid w:val="00FA5D88"/>
    <w:rsid w:val="00FB1528"/>
    <w:rsid w:val="00FB3B9F"/>
    <w:rsid w:val="00FB7776"/>
    <w:rsid w:val="00FC06BD"/>
    <w:rsid w:val="00FC0AD4"/>
    <w:rsid w:val="00FC625D"/>
    <w:rsid w:val="00FD11C0"/>
    <w:rsid w:val="00FD1934"/>
    <w:rsid w:val="00FD1D4E"/>
    <w:rsid w:val="00FD364C"/>
    <w:rsid w:val="00FD706A"/>
    <w:rsid w:val="00FE2FB4"/>
    <w:rsid w:val="00FE30BF"/>
    <w:rsid w:val="00FE32CA"/>
    <w:rsid w:val="00FE6457"/>
    <w:rsid w:val="00FF0C73"/>
    <w:rsid w:val="00FF15A9"/>
    <w:rsid w:val="00FF17F9"/>
    <w:rsid w:val="00FF19E1"/>
    <w:rsid w:val="00FF2FAC"/>
    <w:rsid w:val="00FF3944"/>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5D45F6"/>
  <w15:docId w15:val="{A35A0EBC-8BF8-4C13-B74B-15197C22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6"/>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6"/>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6"/>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6"/>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6"/>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6"/>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2"/>
      </w:numPr>
    </w:pPr>
    <w:rPr>
      <w:color w:val="5B5D62" w:themeColor="accent6" w:themeShade="80"/>
    </w:rPr>
  </w:style>
  <w:style w:type="paragraph" w:styleId="ListBullet2">
    <w:name w:val="List Bullet 2"/>
    <w:basedOn w:val="Normal"/>
    <w:qFormat/>
    <w:rsid w:val="003F253D"/>
    <w:pPr>
      <w:numPr>
        <w:ilvl w:val="1"/>
        <w:numId w:val="2"/>
      </w:numPr>
      <w:contextualSpacing/>
    </w:pPr>
    <w:rPr>
      <w:color w:val="5B5D62" w:themeColor="accent6" w:themeShade="80"/>
    </w:rPr>
  </w:style>
  <w:style w:type="paragraph" w:styleId="ListBullet3">
    <w:name w:val="List Bullet 3"/>
    <w:basedOn w:val="Normal"/>
    <w:qFormat/>
    <w:rsid w:val="003F253D"/>
    <w:pPr>
      <w:numPr>
        <w:ilvl w:val="2"/>
        <w:numId w:val="2"/>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6"/>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6"/>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6"/>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7"/>
      </w:numPr>
    </w:pPr>
    <w:rPr>
      <w:sz w:val="16"/>
      <w:szCs w:val="16"/>
    </w:rPr>
  </w:style>
  <w:style w:type="paragraph" w:customStyle="1" w:styleId="Tablenotenumbers">
    <w:name w:val="Table note numbers"/>
    <w:basedOn w:val="BodyText"/>
    <w:qFormat/>
    <w:rsid w:val="003F253D"/>
    <w:pPr>
      <w:numPr>
        <w:ilvl w:val="1"/>
        <w:numId w:val="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3"/>
      </w:numPr>
      <w:ind w:left="227" w:hanging="227"/>
      <w:contextualSpacing/>
    </w:pPr>
    <w:rPr>
      <w:color w:val="5B5D62" w:themeColor="accent6" w:themeShade="80"/>
    </w:rPr>
  </w:style>
  <w:style w:type="paragraph" w:styleId="ListNumber2">
    <w:name w:val="List Number 2"/>
    <w:basedOn w:val="Normal"/>
    <w:qFormat/>
    <w:rsid w:val="002A699A"/>
    <w:pPr>
      <w:numPr>
        <w:numId w:val="4"/>
      </w:numPr>
      <w:ind w:left="454" w:hanging="227"/>
      <w:contextualSpacing/>
    </w:pPr>
    <w:rPr>
      <w:color w:val="5B5D62" w:themeColor="accent6" w:themeShade="80"/>
    </w:rPr>
  </w:style>
  <w:style w:type="paragraph" w:styleId="ListNumber3">
    <w:name w:val="List Number 3"/>
    <w:basedOn w:val="Normal"/>
    <w:qFormat/>
    <w:rsid w:val="002A699A"/>
    <w:pPr>
      <w:numPr>
        <w:numId w:val="5"/>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1"/>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1"/>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1"/>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1"/>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1"/>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1"/>
      </w:numPr>
    </w:pPr>
  </w:style>
  <w:style w:type="paragraph" w:customStyle="1" w:styleId="AppendixPara1">
    <w:name w:val="Appendix Para 1"/>
    <w:basedOn w:val="Tabletext"/>
    <w:uiPriority w:val="2"/>
    <w:qFormat/>
    <w:rsid w:val="003F253D"/>
    <w:pPr>
      <w:numPr>
        <w:ilvl w:val="6"/>
        <w:numId w:val="1"/>
      </w:numPr>
      <w:spacing w:before="160" w:after="0" w:line="312" w:lineRule="auto"/>
      <w:contextualSpacing/>
    </w:pPr>
  </w:style>
  <w:style w:type="paragraph" w:customStyle="1" w:styleId="AppendixPara2">
    <w:name w:val="Appendix Para 2"/>
    <w:basedOn w:val="Tabletext"/>
    <w:uiPriority w:val="2"/>
    <w:qFormat/>
    <w:rsid w:val="003F253D"/>
    <w:pPr>
      <w:numPr>
        <w:ilvl w:val="7"/>
        <w:numId w:val="1"/>
      </w:numPr>
      <w:spacing w:before="160" w:after="0" w:line="312" w:lineRule="auto"/>
      <w:contextualSpacing/>
    </w:pPr>
  </w:style>
  <w:style w:type="paragraph" w:customStyle="1" w:styleId="AppendixPara3">
    <w:name w:val="Appendix Para 3"/>
    <w:basedOn w:val="Tabletext"/>
    <w:uiPriority w:val="2"/>
    <w:qFormat/>
    <w:rsid w:val="003F253D"/>
    <w:pPr>
      <w:numPr>
        <w:ilvl w:val="8"/>
        <w:numId w:val="1"/>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styleId="FootnoteText">
    <w:name w:val="footnote text"/>
    <w:basedOn w:val="Normal"/>
    <w:link w:val="FootnoteTextChar"/>
    <w:uiPriority w:val="99"/>
    <w:semiHidden/>
    <w:unhideWhenUsed/>
    <w:rsid w:val="00EC4F7C"/>
    <w:pPr>
      <w:spacing w:before="0" w:line="240" w:lineRule="auto"/>
    </w:pPr>
    <w:rPr>
      <w:szCs w:val="20"/>
    </w:rPr>
  </w:style>
  <w:style w:type="character" w:customStyle="1" w:styleId="FootnoteTextChar">
    <w:name w:val="Footnote Text Char"/>
    <w:basedOn w:val="DefaultParagraphFont"/>
    <w:link w:val="FootnoteText"/>
    <w:uiPriority w:val="99"/>
    <w:semiHidden/>
    <w:rsid w:val="00EC4F7C"/>
    <w:rPr>
      <w:sz w:val="20"/>
      <w:szCs w:val="20"/>
      <w:lang w:val="en-GB"/>
    </w:rPr>
  </w:style>
  <w:style w:type="character" w:styleId="FootnoteReference">
    <w:name w:val="footnote reference"/>
    <w:basedOn w:val="DefaultParagraphFont"/>
    <w:uiPriority w:val="99"/>
    <w:semiHidden/>
    <w:unhideWhenUsed/>
    <w:rsid w:val="00EC4F7C"/>
    <w:rPr>
      <w:vertAlign w:val="superscript"/>
    </w:rPr>
  </w:style>
  <w:style w:type="character" w:styleId="CommentReference">
    <w:name w:val="annotation reference"/>
    <w:basedOn w:val="DefaultParagraphFont"/>
    <w:uiPriority w:val="99"/>
    <w:semiHidden/>
    <w:unhideWhenUsed/>
    <w:rsid w:val="00EA70AF"/>
    <w:rPr>
      <w:sz w:val="16"/>
      <w:szCs w:val="16"/>
    </w:rPr>
  </w:style>
  <w:style w:type="paragraph" w:styleId="CommentText">
    <w:name w:val="annotation text"/>
    <w:basedOn w:val="Normal"/>
    <w:link w:val="CommentTextChar"/>
    <w:uiPriority w:val="99"/>
    <w:unhideWhenUsed/>
    <w:rsid w:val="00EA70AF"/>
    <w:pPr>
      <w:spacing w:line="240" w:lineRule="auto"/>
    </w:pPr>
    <w:rPr>
      <w:szCs w:val="20"/>
    </w:rPr>
  </w:style>
  <w:style w:type="character" w:customStyle="1" w:styleId="CommentTextChar">
    <w:name w:val="Comment Text Char"/>
    <w:basedOn w:val="DefaultParagraphFont"/>
    <w:link w:val="CommentText"/>
    <w:uiPriority w:val="99"/>
    <w:rsid w:val="00EA70AF"/>
    <w:rPr>
      <w:sz w:val="20"/>
      <w:szCs w:val="20"/>
      <w:lang w:val="en-GB"/>
    </w:rPr>
  </w:style>
  <w:style w:type="paragraph" w:styleId="CommentSubject">
    <w:name w:val="annotation subject"/>
    <w:basedOn w:val="CommentText"/>
    <w:next w:val="CommentText"/>
    <w:link w:val="CommentSubjectChar"/>
    <w:uiPriority w:val="99"/>
    <w:semiHidden/>
    <w:unhideWhenUsed/>
    <w:rsid w:val="00EA70AF"/>
    <w:rPr>
      <w:b/>
      <w:bCs/>
    </w:rPr>
  </w:style>
  <w:style w:type="character" w:customStyle="1" w:styleId="CommentSubjectChar">
    <w:name w:val="Comment Subject Char"/>
    <w:basedOn w:val="CommentTextChar"/>
    <w:link w:val="CommentSubject"/>
    <w:uiPriority w:val="99"/>
    <w:semiHidden/>
    <w:rsid w:val="00EA70AF"/>
    <w:rPr>
      <w:b/>
      <w:bCs/>
      <w:sz w:val="20"/>
      <w:szCs w:val="20"/>
      <w:lang w:val="en-GB"/>
    </w:rPr>
  </w:style>
  <w:style w:type="paragraph" w:styleId="Revision">
    <w:name w:val="Revision"/>
    <w:hidden/>
    <w:uiPriority w:val="99"/>
    <w:semiHidden/>
    <w:rsid w:val="00B4314F"/>
    <w:pPr>
      <w:spacing w:after="0" w:line="240" w:lineRule="auto"/>
    </w:pPr>
    <w:rPr>
      <w:sz w:val="20"/>
      <w:szCs w:val="18"/>
      <w:lang w:val="en-GB"/>
    </w:rPr>
  </w:style>
  <w:style w:type="paragraph" w:customStyle="1" w:styleId="paragraph">
    <w:name w:val="paragraph"/>
    <w:basedOn w:val="Normal"/>
    <w:rsid w:val="00C5313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C53134"/>
  </w:style>
  <w:style w:type="character" w:customStyle="1" w:styleId="eop">
    <w:name w:val="eop"/>
    <w:basedOn w:val="DefaultParagraphFont"/>
    <w:rsid w:val="00C5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5637">
      <w:bodyDiv w:val="1"/>
      <w:marLeft w:val="0"/>
      <w:marRight w:val="0"/>
      <w:marTop w:val="0"/>
      <w:marBottom w:val="0"/>
      <w:divBdr>
        <w:top w:val="none" w:sz="0" w:space="0" w:color="auto"/>
        <w:left w:val="none" w:sz="0" w:space="0" w:color="auto"/>
        <w:bottom w:val="none" w:sz="0" w:space="0" w:color="auto"/>
        <w:right w:val="none" w:sz="0" w:space="0" w:color="auto"/>
      </w:divBdr>
      <w:divsChild>
        <w:div w:id="382026424">
          <w:marLeft w:val="0"/>
          <w:marRight w:val="0"/>
          <w:marTop w:val="0"/>
          <w:marBottom w:val="0"/>
          <w:divBdr>
            <w:top w:val="none" w:sz="0" w:space="0" w:color="auto"/>
            <w:left w:val="none" w:sz="0" w:space="0" w:color="auto"/>
            <w:bottom w:val="none" w:sz="0" w:space="0" w:color="auto"/>
            <w:right w:val="none" w:sz="0" w:space="0" w:color="auto"/>
          </w:divBdr>
        </w:div>
        <w:div w:id="942108905">
          <w:marLeft w:val="0"/>
          <w:marRight w:val="0"/>
          <w:marTop w:val="0"/>
          <w:marBottom w:val="0"/>
          <w:divBdr>
            <w:top w:val="none" w:sz="0" w:space="0" w:color="auto"/>
            <w:left w:val="none" w:sz="0" w:space="0" w:color="auto"/>
            <w:bottom w:val="none" w:sz="0" w:space="0" w:color="auto"/>
            <w:right w:val="none" w:sz="0" w:space="0" w:color="auto"/>
          </w:divBdr>
        </w:div>
      </w:divsChild>
    </w:div>
    <w:div w:id="1588884882">
      <w:bodyDiv w:val="1"/>
      <w:marLeft w:val="0"/>
      <w:marRight w:val="0"/>
      <w:marTop w:val="0"/>
      <w:marBottom w:val="0"/>
      <w:divBdr>
        <w:top w:val="none" w:sz="0" w:space="0" w:color="auto"/>
        <w:left w:val="none" w:sz="0" w:space="0" w:color="auto"/>
        <w:bottom w:val="none" w:sz="0" w:space="0" w:color="auto"/>
        <w:right w:val="none" w:sz="0" w:space="0" w:color="auto"/>
      </w:divBdr>
    </w:div>
    <w:div w:id="1794210669">
      <w:bodyDiv w:val="1"/>
      <w:marLeft w:val="0"/>
      <w:marRight w:val="0"/>
      <w:marTop w:val="0"/>
      <w:marBottom w:val="0"/>
      <w:divBdr>
        <w:top w:val="none" w:sz="0" w:space="0" w:color="auto"/>
        <w:left w:val="none" w:sz="0" w:space="0" w:color="auto"/>
        <w:bottom w:val="none" w:sz="0" w:space="0" w:color="auto"/>
        <w:right w:val="none" w:sz="0" w:space="0" w:color="auto"/>
      </w:divBdr>
      <w:divsChild>
        <w:div w:id="488833397">
          <w:marLeft w:val="0"/>
          <w:marRight w:val="0"/>
          <w:marTop w:val="0"/>
          <w:marBottom w:val="0"/>
          <w:divBdr>
            <w:top w:val="none" w:sz="0" w:space="0" w:color="auto"/>
            <w:left w:val="none" w:sz="0" w:space="0" w:color="auto"/>
            <w:bottom w:val="none" w:sz="0" w:space="0" w:color="auto"/>
            <w:right w:val="none" w:sz="0" w:space="0" w:color="auto"/>
          </w:divBdr>
        </w:div>
        <w:div w:id="1281885732">
          <w:marLeft w:val="0"/>
          <w:marRight w:val="0"/>
          <w:marTop w:val="0"/>
          <w:marBottom w:val="0"/>
          <w:divBdr>
            <w:top w:val="none" w:sz="0" w:space="0" w:color="auto"/>
            <w:left w:val="none" w:sz="0" w:space="0" w:color="auto"/>
            <w:bottom w:val="none" w:sz="0" w:space="0" w:color="auto"/>
            <w:right w:val="none" w:sz="0" w:space="0" w:color="auto"/>
          </w:divBdr>
        </w:div>
      </w:divsChild>
    </w:div>
    <w:div w:id="1824198343">
      <w:bodyDiv w:val="1"/>
      <w:marLeft w:val="0"/>
      <w:marRight w:val="0"/>
      <w:marTop w:val="0"/>
      <w:marBottom w:val="0"/>
      <w:divBdr>
        <w:top w:val="none" w:sz="0" w:space="0" w:color="auto"/>
        <w:left w:val="none" w:sz="0" w:space="0" w:color="auto"/>
        <w:bottom w:val="none" w:sz="0" w:space="0" w:color="auto"/>
        <w:right w:val="none" w:sz="0" w:space="0" w:color="auto"/>
      </w:divBdr>
      <w:divsChild>
        <w:div w:id="85855636">
          <w:marLeft w:val="0"/>
          <w:marRight w:val="0"/>
          <w:marTop w:val="0"/>
          <w:marBottom w:val="0"/>
          <w:divBdr>
            <w:top w:val="none" w:sz="0" w:space="0" w:color="auto"/>
            <w:left w:val="none" w:sz="0" w:space="0" w:color="auto"/>
            <w:bottom w:val="none" w:sz="0" w:space="0" w:color="auto"/>
            <w:right w:val="none" w:sz="0" w:space="0" w:color="auto"/>
          </w:divBdr>
        </w:div>
        <w:div w:id="1778476142">
          <w:marLeft w:val="0"/>
          <w:marRight w:val="0"/>
          <w:marTop w:val="0"/>
          <w:marBottom w:val="0"/>
          <w:divBdr>
            <w:top w:val="none" w:sz="0" w:space="0" w:color="auto"/>
            <w:left w:val="none" w:sz="0" w:space="0" w:color="auto"/>
            <w:bottom w:val="none" w:sz="0" w:space="0" w:color="auto"/>
            <w:right w:val="none" w:sz="0" w:space="0" w:color="auto"/>
          </w:divBdr>
        </w:div>
      </w:divsChild>
    </w:div>
    <w:div w:id="2049181950">
      <w:bodyDiv w:val="1"/>
      <w:marLeft w:val="0"/>
      <w:marRight w:val="0"/>
      <w:marTop w:val="0"/>
      <w:marBottom w:val="0"/>
      <w:divBdr>
        <w:top w:val="none" w:sz="0" w:space="0" w:color="auto"/>
        <w:left w:val="none" w:sz="0" w:space="0" w:color="auto"/>
        <w:bottom w:val="none" w:sz="0" w:space="0" w:color="auto"/>
        <w:right w:val="none" w:sz="0" w:space="0" w:color="auto"/>
      </w:divBdr>
      <w:divsChild>
        <w:div w:id="1079405575">
          <w:marLeft w:val="0"/>
          <w:marRight w:val="0"/>
          <w:marTop w:val="0"/>
          <w:marBottom w:val="0"/>
          <w:divBdr>
            <w:top w:val="none" w:sz="0" w:space="0" w:color="auto"/>
            <w:left w:val="none" w:sz="0" w:space="0" w:color="auto"/>
            <w:bottom w:val="none" w:sz="0" w:space="0" w:color="auto"/>
            <w:right w:val="none" w:sz="0" w:space="0" w:color="auto"/>
          </w:divBdr>
        </w:div>
        <w:div w:id="1586958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venturafm.com.au/media/1729/ventura-fsg-update-no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um.Daly\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2145D16DE4D0C9C71E54B9CC5E78F"/>
        <w:category>
          <w:name w:val="General"/>
          <w:gallery w:val="placeholder"/>
        </w:category>
        <w:types>
          <w:type w:val="bbPlcHdr"/>
        </w:types>
        <w:behaviors>
          <w:behavior w:val="content"/>
        </w:behaviors>
        <w:guid w:val="{A8D59886-BBDD-44B9-9054-31A913E0A550}"/>
      </w:docPartPr>
      <w:docPartBody>
        <w:p w:rsidR="00BA4316" w:rsidRDefault="00BA4316">
          <w:pPr>
            <w:pStyle w:val="3FC2145D16DE4D0C9C71E54B9CC5E78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16"/>
    <w:rsid w:val="0004237E"/>
    <w:rsid w:val="000D7C31"/>
    <w:rsid w:val="001136E7"/>
    <w:rsid w:val="001B658C"/>
    <w:rsid w:val="00392E77"/>
    <w:rsid w:val="004A6A24"/>
    <w:rsid w:val="004C3DC5"/>
    <w:rsid w:val="004F79CD"/>
    <w:rsid w:val="00507931"/>
    <w:rsid w:val="00554B3D"/>
    <w:rsid w:val="005D1DA4"/>
    <w:rsid w:val="00813FD3"/>
    <w:rsid w:val="00916D79"/>
    <w:rsid w:val="00AA6137"/>
    <w:rsid w:val="00B44C21"/>
    <w:rsid w:val="00BA4316"/>
    <w:rsid w:val="00BC0AC8"/>
    <w:rsid w:val="00C406EE"/>
    <w:rsid w:val="00DF248B"/>
    <w:rsid w:val="00E52A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C2145D16DE4D0C9C71E54B9CC5E78F">
    <w:name w:val="3FC2145D16DE4D0C9C71E54B9CC5E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698FD7B7CA0E42BFFF4A5046A71E5C" ma:contentTypeVersion="11" ma:contentTypeDescription="Create a new document." ma:contentTypeScope="" ma:versionID="ceee664e0ba8c318be4a23077737fcf1">
  <xsd:schema xmlns:xsd="http://www.w3.org/2001/XMLSchema" xmlns:xs="http://www.w3.org/2001/XMLSchema" xmlns:p="http://schemas.microsoft.com/office/2006/metadata/properties" xmlns:ns2="ccc404f7-922f-4f5e-81bf-1a39289fddbc" xmlns:ns3="5647e300-f494-4a24-b747-6ba59bb8139b" targetNamespace="http://schemas.microsoft.com/office/2006/metadata/properties" ma:root="true" ma:fieldsID="958a71429527c45a3fadf0b3d619191f" ns2:_="" ns3:_="">
    <xsd:import namespace="ccc404f7-922f-4f5e-81bf-1a39289fddbc"/>
    <xsd:import namespace="5647e300-f494-4a24-b747-6ba59bb813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404f7-922f-4f5e-81bf-1a39289f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7e300-f494-4a24-b747-6ba59bb813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3.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customXml/itemProps4.xml><?xml version="1.0" encoding="utf-8"?>
<ds:datastoreItem xmlns:ds="http://schemas.openxmlformats.org/officeDocument/2006/customXml" ds:itemID="{511FC3B8-42C3-4E13-9115-26626F0D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404f7-922f-4f5e-81bf-1a39289fddbc"/>
    <ds:schemaRef ds:uri="5647e300-f494-4a24-b747-6ba59bb81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59</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Market and Economic Update</vt:lpstr>
    </vt:vector>
  </TitlesOfParts>
  <Company/>
  <LinksUpToDate>false</LinksUpToDate>
  <CharactersWithSpaces>8852</CharactersWithSpaces>
  <SharedDoc>false</SharedDoc>
  <HLinks>
    <vt:vector size="6" baseType="variant">
      <vt:variant>
        <vt:i4>2097196</vt:i4>
      </vt:variant>
      <vt:variant>
        <vt:i4>0</vt:i4>
      </vt:variant>
      <vt:variant>
        <vt:i4>0</vt:i4>
      </vt:variant>
      <vt:variant>
        <vt:i4>5</vt:i4>
      </vt:variant>
      <vt:variant>
        <vt:lpwstr>https://venturafm.com.au/media/1729/ventura-fsg-update-nov.pdf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Economic Update</dc:title>
  <dc:subject/>
  <dc:creator>Nikolai Bull</dc:creator>
  <cp:keywords/>
  <dc:description/>
  <cp:lastModifiedBy>Callum Daly</cp:lastModifiedBy>
  <cp:revision>16</cp:revision>
  <dcterms:created xsi:type="dcterms:W3CDTF">2024-04-16T22:47:00Z</dcterms:created>
  <dcterms:modified xsi:type="dcterms:W3CDTF">2024-04-17T00:54:00Z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0x0101002F698FD7B7CA0E42BFFF4A5046A71E5C</vt:lpwstr>
  </property>
  <property fmtid="{D5CDD505-2E9C-101B-9397-08002B2CF9AE}" pid="3" name="Order">
    <vt:r8>4897600</vt:r8>
  </property>
</Properties>
</file>